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685" w:rsidRPr="00663A36" w:rsidRDefault="00ED640C" w:rsidP="00A52B77">
      <w:pPr>
        <w:pStyle w:val="Title"/>
        <w:pBdr>
          <w:bottom w:val="none" w:sz="0" w:space="0" w:color="auto"/>
        </w:pBdr>
        <w:rPr>
          <w:rFonts w:ascii="Clan-News" w:hAnsi="Clan-News"/>
          <w:b/>
          <w:sz w:val="130"/>
          <w:szCs w:val="130"/>
        </w:rPr>
      </w:pPr>
      <w:r>
        <w:rPr>
          <w:rFonts w:ascii="Clan-News" w:eastAsia="Times New Roman" w:hAnsi="Clan-News"/>
          <w:b/>
          <w:bCs/>
          <w:noProof/>
          <w:color w:val="666699"/>
          <w:spacing w:val="0"/>
          <w:kern w:val="32"/>
          <w:sz w:val="130"/>
          <w:szCs w:val="130"/>
          <w:lang w:eastAsia="en-GB"/>
        </w:rPr>
        <w:drawing>
          <wp:anchor distT="0" distB="0" distL="114300" distR="114300" simplePos="0" relativeHeight="251657728" behindDoc="0" locked="0" layoutInCell="1" allowOverlap="1">
            <wp:simplePos x="0" y="0"/>
            <wp:positionH relativeFrom="column">
              <wp:posOffset>4294505</wp:posOffset>
            </wp:positionH>
            <wp:positionV relativeFrom="page">
              <wp:posOffset>800100</wp:posOffset>
            </wp:positionV>
            <wp:extent cx="1534795" cy="1431290"/>
            <wp:effectExtent l="0" t="0" r="8255" b="0"/>
            <wp:wrapNone/>
            <wp:docPr id="33" name="Picture 8"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Scottish Govern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4795" cy="1431290"/>
                    </a:xfrm>
                    <a:prstGeom prst="rect">
                      <a:avLst/>
                    </a:prstGeom>
                    <a:noFill/>
                    <a:ln>
                      <a:noFill/>
                    </a:ln>
                  </pic:spPr>
                </pic:pic>
              </a:graphicData>
            </a:graphic>
            <wp14:sizeRelH relativeFrom="page">
              <wp14:pctWidth>0</wp14:pctWidth>
            </wp14:sizeRelH>
            <wp14:sizeRelV relativeFrom="page">
              <wp14:pctHeight>0</wp14:pctHeight>
            </wp14:sizeRelV>
          </wp:anchor>
        </w:drawing>
      </w:r>
      <w:r w:rsidR="005A1685" w:rsidRPr="00663A36">
        <w:rPr>
          <w:rFonts w:ascii="Clan-News" w:hAnsi="Clan-News"/>
          <w:b/>
          <w:sz w:val="130"/>
          <w:szCs w:val="130"/>
        </w:rPr>
        <w:t>Input-Output</w:t>
      </w:r>
    </w:p>
    <w:p w:rsidR="00F172DA" w:rsidRPr="00EF394A" w:rsidRDefault="005A1685" w:rsidP="00A52B77">
      <w:pPr>
        <w:pStyle w:val="Title"/>
        <w:pBdr>
          <w:bottom w:val="none" w:sz="0" w:space="0" w:color="auto"/>
        </w:pBdr>
        <w:rPr>
          <w:rFonts w:ascii="Clan-News" w:eastAsia="Times New Roman" w:hAnsi="Clan-News"/>
          <w:b/>
          <w:bCs/>
          <w:color w:val="666699"/>
          <w:spacing w:val="0"/>
          <w:kern w:val="32"/>
          <w:sz w:val="80"/>
          <w:szCs w:val="80"/>
          <w:lang w:eastAsia="en-GB"/>
        </w:rPr>
      </w:pPr>
      <w:r w:rsidRPr="00EF394A">
        <w:rPr>
          <w:rFonts w:ascii="Clan-News" w:hAnsi="Clan-News"/>
          <w:color w:val="666699"/>
          <w:sz w:val="80"/>
          <w:szCs w:val="80"/>
        </w:rPr>
        <w:t>Methodology Guide</w:t>
      </w:r>
    </w:p>
    <w:p w:rsidR="00F172DA" w:rsidRDefault="00F172DA" w:rsidP="00AE2BEB">
      <w:pPr>
        <w:rPr>
          <w:lang w:eastAsia="en-US"/>
        </w:rPr>
      </w:pPr>
    </w:p>
    <w:p w:rsidR="00F172DA" w:rsidRDefault="00F172DA" w:rsidP="00AE2BEB">
      <w:pPr>
        <w:rPr>
          <w:lang w:eastAsia="en-US"/>
        </w:rPr>
      </w:pPr>
    </w:p>
    <w:p w:rsidR="00F172DA" w:rsidRDefault="00F172DA" w:rsidP="00AE2BEB">
      <w:pPr>
        <w:rPr>
          <w:lang w:eastAsia="en-US"/>
        </w:rPr>
      </w:pPr>
    </w:p>
    <w:p w:rsidR="00F172DA" w:rsidRDefault="00F172DA" w:rsidP="00AE2BEB">
      <w:pPr>
        <w:rPr>
          <w:lang w:eastAsia="en-US"/>
        </w:rPr>
      </w:pPr>
    </w:p>
    <w:p w:rsidR="005A1685" w:rsidRDefault="005A1685" w:rsidP="00AE2BEB">
      <w:pPr>
        <w:rPr>
          <w:lang w:eastAsia="en-US"/>
        </w:rPr>
      </w:pPr>
    </w:p>
    <w:p w:rsidR="005A1685" w:rsidRDefault="005A1685" w:rsidP="00AE2BEB">
      <w:pPr>
        <w:rPr>
          <w:lang w:eastAsia="en-US"/>
        </w:rPr>
      </w:pPr>
    </w:p>
    <w:p w:rsidR="005A1685" w:rsidRDefault="005A1685" w:rsidP="00AE2BEB">
      <w:pPr>
        <w:rPr>
          <w:lang w:eastAsia="en-US"/>
        </w:rPr>
      </w:pPr>
    </w:p>
    <w:p w:rsidR="005A1685" w:rsidRDefault="005A1685" w:rsidP="00AE2BEB">
      <w:pPr>
        <w:rPr>
          <w:lang w:eastAsia="en-US"/>
        </w:rPr>
      </w:pPr>
    </w:p>
    <w:p w:rsidR="005A1685" w:rsidRDefault="005A1685" w:rsidP="00AE2BEB">
      <w:pPr>
        <w:rPr>
          <w:lang w:eastAsia="en-US"/>
        </w:rPr>
      </w:pPr>
    </w:p>
    <w:p w:rsidR="00F172DA" w:rsidRDefault="00F172DA" w:rsidP="00AE2BEB">
      <w:pPr>
        <w:rPr>
          <w:lang w:eastAsia="en-US"/>
        </w:rPr>
      </w:pPr>
    </w:p>
    <w:p w:rsidR="00F172DA" w:rsidRDefault="00F172DA" w:rsidP="00AE2BEB">
      <w:pPr>
        <w:rPr>
          <w:lang w:eastAsia="en-US"/>
        </w:rPr>
      </w:pPr>
    </w:p>
    <w:p w:rsidR="00F172DA" w:rsidRDefault="00F172DA" w:rsidP="00AE2BEB">
      <w:pPr>
        <w:rPr>
          <w:lang w:eastAsia="en-US"/>
        </w:rPr>
      </w:pPr>
    </w:p>
    <w:p w:rsidR="00F172DA" w:rsidRDefault="00F172DA" w:rsidP="00AE2BEB">
      <w:pPr>
        <w:rPr>
          <w:lang w:eastAsia="en-US"/>
        </w:rPr>
      </w:pPr>
    </w:p>
    <w:p w:rsidR="00F172DA" w:rsidRDefault="00F172DA" w:rsidP="00AE2BEB">
      <w:pPr>
        <w:rPr>
          <w:lang w:eastAsia="en-US"/>
        </w:rPr>
      </w:pPr>
    </w:p>
    <w:p w:rsidR="00F172DA" w:rsidRDefault="00F172DA" w:rsidP="00AE2BEB">
      <w:pPr>
        <w:rPr>
          <w:lang w:eastAsia="en-US"/>
        </w:rPr>
      </w:pPr>
    </w:p>
    <w:p w:rsidR="00F172DA" w:rsidRDefault="00F172DA" w:rsidP="00AE2BEB">
      <w:pPr>
        <w:rPr>
          <w:lang w:eastAsia="en-US"/>
        </w:rPr>
      </w:pPr>
    </w:p>
    <w:p w:rsidR="00F172DA" w:rsidRDefault="00F172DA" w:rsidP="00AE2BEB">
      <w:pPr>
        <w:rPr>
          <w:lang w:eastAsia="en-US"/>
        </w:rPr>
      </w:pPr>
    </w:p>
    <w:p w:rsidR="00F172DA" w:rsidRDefault="00F172DA" w:rsidP="00AE2BEB">
      <w:pPr>
        <w:rPr>
          <w:lang w:eastAsia="en-US"/>
        </w:rPr>
      </w:pPr>
    </w:p>
    <w:p w:rsidR="00F172DA" w:rsidRDefault="00F172DA" w:rsidP="00AE2BEB">
      <w:pPr>
        <w:rPr>
          <w:lang w:eastAsia="en-US"/>
        </w:rPr>
      </w:pPr>
    </w:p>
    <w:p w:rsidR="00F172DA" w:rsidRDefault="000E325A" w:rsidP="00F172DA">
      <w:pPr>
        <w:pStyle w:val="Heading8"/>
        <w:jc w:val="right"/>
        <w:rPr>
          <w:lang w:eastAsia="en-US"/>
        </w:rPr>
      </w:pPr>
      <w:r>
        <w:rPr>
          <w:lang w:eastAsia="en-US"/>
        </w:rPr>
        <w:t xml:space="preserve">Version </w:t>
      </w:r>
      <w:r w:rsidR="00752AAE">
        <w:rPr>
          <w:lang w:eastAsia="en-US"/>
        </w:rPr>
        <w:t>3</w:t>
      </w:r>
      <w:r w:rsidR="00290AFD">
        <w:rPr>
          <w:lang w:eastAsia="en-US"/>
        </w:rPr>
        <w:br/>
      </w:r>
      <w:r w:rsidR="00752AAE">
        <w:rPr>
          <w:lang w:eastAsia="en-US"/>
        </w:rPr>
        <w:t>July</w:t>
      </w:r>
      <w:r w:rsidR="00812BBE">
        <w:rPr>
          <w:lang w:eastAsia="en-US"/>
        </w:rPr>
        <w:t xml:space="preserve"> </w:t>
      </w:r>
      <w:r w:rsidR="003D2B6A">
        <w:rPr>
          <w:lang w:eastAsia="en-US"/>
        </w:rPr>
        <w:t>201</w:t>
      </w:r>
      <w:r w:rsidR="00752AAE">
        <w:rPr>
          <w:lang w:eastAsia="en-US"/>
        </w:rPr>
        <w:t>7</w:t>
      </w:r>
    </w:p>
    <w:p w:rsidR="00E636B1" w:rsidRDefault="00E636B1" w:rsidP="00F172DA">
      <w:pPr>
        <w:rPr>
          <w:lang w:eastAsia="en-US"/>
        </w:rPr>
      </w:pPr>
    </w:p>
    <w:p w:rsidR="00E636B1" w:rsidRDefault="00E636B1" w:rsidP="00F172DA">
      <w:pPr>
        <w:rPr>
          <w:lang w:eastAsia="en-US"/>
        </w:rPr>
      </w:pPr>
    </w:p>
    <w:p w:rsidR="00E636B1" w:rsidRDefault="00E636B1" w:rsidP="00F172DA">
      <w:pPr>
        <w:rPr>
          <w:lang w:eastAsia="en-US"/>
        </w:rPr>
        <w:sectPr w:rsidR="00E636B1" w:rsidSect="00663A36">
          <w:headerReference w:type="default" r:id="rId11"/>
          <w:footerReference w:type="even" r:id="rId12"/>
          <w:footerReference w:type="default" r:id="rId13"/>
          <w:pgSz w:w="11906" w:h="16838" w:code="9"/>
          <w:pgMar w:top="6110" w:right="1440" w:bottom="1440" w:left="1440" w:header="720" w:footer="720" w:gutter="0"/>
          <w:cols w:space="708"/>
          <w:docGrid w:linePitch="360"/>
        </w:sectPr>
      </w:pPr>
    </w:p>
    <w:tbl>
      <w:tblPr>
        <w:tblW w:w="0" w:type="auto"/>
        <w:tblInd w:w="648" w:type="dxa"/>
        <w:tblLook w:val="01E0" w:firstRow="1" w:lastRow="1" w:firstColumn="1" w:lastColumn="1" w:noHBand="0" w:noVBand="0"/>
      </w:tblPr>
      <w:tblGrid>
        <w:gridCol w:w="900"/>
        <w:gridCol w:w="5760"/>
        <w:gridCol w:w="1620"/>
      </w:tblGrid>
      <w:tr w:rsidR="00E636B1" w:rsidRPr="00554469" w:rsidTr="00711CC8">
        <w:tc>
          <w:tcPr>
            <w:tcW w:w="900" w:type="dxa"/>
            <w:tcBorders>
              <w:bottom w:val="single" w:sz="4" w:space="0" w:color="666699"/>
            </w:tcBorders>
            <w:shd w:val="clear" w:color="auto" w:fill="auto"/>
          </w:tcPr>
          <w:p w:rsidR="00E636B1" w:rsidRPr="00554469" w:rsidRDefault="00E636B1" w:rsidP="00711CC8">
            <w:pPr>
              <w:rPr>
                <w:b/>
                <w:color w:val="666699"/>
                <w:sz w:val="16"/>
                <w:szCs w:val="16"/>
                <w:lang w:eastAsia="en-US"/>
              </w:rPr>
            </w:pPr>
            <w:bookmarkStart w:id="0" w:name="_Toc292468930"/>
            <w:bookmarkStart w:id="1" w:name="_Toc292469147"/>
            <w:bookmarkStart w:id="2" w:name="_Toc292469224"/>
            <w:r w:rsidRPr="00554469">
              <w:rPr>
                <w:b/>
                <w:color w:val="666699"/>
                <w:sz w:val="16"/>
                <w:szCs w:val="16"/>
                <w:lang w:eastAsia="en-US"/>
              </w:rPr>
              <w:lastRenderedPageBreak/>
              <w:t>Version</w:t>
            </w:r>
          </w:p>
        </w:tc>
        <w:tc>
          <w:tcPr>
            <w:tcW w:w="5760" w:type="dxa"/>
            <w:tcBorders>
              <w:bottom w:val="single" w:sz="4" w:space="0" w:color="666699"/>
            </w:tcBorders>
            <w:shd w:val="clear" w:color="auto" w:fill="auto"/>
          </w:tcPr>
          <w:p w:rsidR="00E636B1" w:rsidRPr="00554469" w:rsidRDefault="00E636B1" w:rsidP="00711CC8">
            <w:pPr>
              <w:rPr>
                <w:b/>
                <w:color w:val="666699"/>
                <w:sz w:val="16"/>
                <w:szCs w:val="16"/>
                <w:lang w:eastAsia="en-US"/>
              </w:rPr>
            </w:pPr>
            <w:r w:rsidRPr="00554469">
              <w:rPr>
                <w:b/>
                <w:color w:val="666699"/>
                <w:sz w:val="16"/>
                <w:szCs w:val="16"/>
                <w:lang w:eastAsia="en-US"/>
              </w:rPr>
              <w:t>Description</w:t>
            </w:r>
          </w:p>
        </w:tc>
        <w:tc>
          <w:tcPr>
            <w:tcW w:w="1620" w:type="dxa"/>
            <w:tcBorders>
              <w:bottom w:val="single" w:sz="4" w:space="0" w:color="666699"/>
            </w:tcBorders>
            <w:shd w:val="clear" w:color="auto" w:fill="auto"/>
          </w:tcPr>
          <w:p w:rsidR="00E636B1" w:rsidRPr="00554469" w:rsidRDefault="00E636B1" w:rsidP="00711CC8">
            <w:pPr>
              <w:rPr>
                <w:b/>
                <w:color w:val="666699"/>
                <w:sz w:val="16"/>
                <w:szCs w:val="16"/>
                <w:lang w:eastAsia="en-US"/>
              </w:rPr>
            </w:pPr>
            <w:r w:rsidRPr="00554469">
              <w:rPr>
                <w:b/>
                <w:color w:val="666699"/>
                <w:sz w:val="16"/>
                <w:szCs w:val="16"/>
                <w:lang w:eastAsia="en-US"/>
              </w:rPr>
              <w:t>Date published</w:t>
            </w:r>
          </w:p>
        </w:tc>
      </w:tr>
      <w:tr w:rsidR="00E636B1" w:rsidRPr="00554469" w:rsidTr="00711CC8">
        <w:trPr>
          <w:trHeight w:val="269"/>
        </w:trPr>
        <w:tc>
          <w:tcPr>
            <w:tcW w:w="900" w:type="dxa"/>
            <w:tcBorders>
              <w:top w:val="single" w:sz="4" w:space="0" w:color="666699"/>
            </w:tcBorders>
            <w:shd w:val="clear" w:color="auto" w:fill="auto"/>
            <w:vAlign w:val="bottom"/>
          </w:tcPr>
          <w:p w:rsidR="00E636B1" w:rsidRPr="00554469" w:rsidRDefault="00E636B1" w:rsidP="00711CC8">
            <w:pPr>
              <w:rPr>
                <w:sz w:val="16"/>
                <w:szCs w:val="16"/>
                <w:lang w:eastAsia="en-US"/>
              </w:rPr>
            </w:pPr>
            <w:r w:rsidRPr="00554469">
              <w:rPr>
                <w:sz w:val="16"/>
                <w:szCs w:val="16"/>
                <w:lang w:eastAsia="en-US"/>
              </w:rPr>
              <w:t>1</w:t>
            </w:r>
          </w:p>
        </w:tc>
        <w:tc>
          <w:tcPr>
            <w:tcW w:w="5760" w:type="dxa"/>
            <w:tcBorders>
              <w:top w:val="single" w:sz="4" w:space="0" w:color="666699"/>
            </w:tcBorders>
            <w:shd w:val="clear" w:color="auto" w:fill="auto"/>
            <w:vAlign w:val="bottom"/>
          </w:tcPr>
          <w:p w:rsidR="00E636B1" w:rsidRPr="00554469" w:rsidRDefault="00E636B1" w:rsidP="00711CC8">
            <w:pPr>
              <w:rPr>
                <w:sz w:val="16"/>
                <w:szCs w:val="16"/>
                <w:lang w:eastAsia="en-US"/>
              </w:rPr>
            </w:pPr>
            <w:r w:rsidRPr="00554469">
              <w:rPr>
                <w:sz w:val="16"/>
                <w:szCs w:val="16"/>
                <w:lang w:eastAsia="en-US"/>
              </w:rPr>
              <w:t>First publication</w:t>
            </w:r>
          </w:p>
        </w:tc>
        <w:tc>
          <w:tcPr>
            <w:tcW w:w="1620" w:type="dxa"/>
            <w:tcBorders>
              <w:top w:val="single" w:sz="4" w:space="0" w:color="666699"/>
            </w:tcBorders>
            <w:shd w:val="clear" w:color="auto" w:fill="auto"/>
            <w:vAlign w:val="bottom"/>
          </w:tcPr>
          <w:p w:rsidR="00E636B1" w:rsidRPr="00554469" w:rsidRDefault="00E636B1" w:rsidP="00711CC8">
            <w:pPr>
              <w:rPr>
                <w:sz w:val="16"/>
                <w:szCs w:val="16"/>
                <w:lang w:eastAsia="en-US"/>
              </w:rPr>
            </w:pPr>
            <w:r w:rsidRPr="00554469">
              <w:rPr>
                <w:sz w:val="16"/>
                <w:szCs w:val="16"/>
                <w:lang w:eastAsia="en-US"/>
              </w:rPr>
              <w:t>May 2011</w:t>
            </w:r>
          </w:p>
        </w:tc>
      </w:tr>
      <w:tr w:rsidR="00E636B1" w:rsidRPr="00554469" w:rsidTr="00711CC8">
        <w:tc>
          <w:tcPr>
            <w:tcW w:w="900" w:type="dxa"/>
            <w:shd w:val="clear" w:color="auto" w:fill="auto"/>
          </w:tcPr>
          <w:p w:rsidR="00E636B1" w:rsidRDefault="00E636B1" w:rsidP="00711CC8">
            <w:pPr>
              <w:rPr>
                <w:sz w:val="16"/>
                <w:szCs w:val="16"/>
                <w:lang w:eastAsia="en-US"/>
              </w:rPr>
            </w:pPr>
            <w:r w:rsidRPr="00554469">
              <w:rPr>
                <w:sz w:val="16"/>
                <w:szCs w:val="16"/>
                <w:lang w:eastAsia="en-US"/>
              </w:rPr>
              <w:t>1.1</w:t>
            </w:r>
            <w:r>
              <w:rPr>
                <w:sz w:val="16"/>
                <w:szCs w:val="16"/>
                <w:lang w:eastAsia="en-US"/>
              </w:rPr>
              <w:br/>
            </w:r>
          </w:p>
          <w:p w:rsidR="00E636B1" w:rsidRDefault="00E636B1" w:rsidP="00711CC8">
            <w:pPr>
              <w:rPr>
                <w:sz w:val="16"/>
                <w:szCs w:val="16"/>
                <w:lang w:eastAsia="en-US"/>
              </w:rPr>
            </w:pPr>
            <w:r>
              <w:rPr>
                <w:sz w:val="16"/>
                <w:szCs w:val="16"/>
                <w:lang w:eastAsia="en-US"/>
              </w:rPr>
              <w:t>2</w:t>
            </w:r>
          </w:p>
          <w:p w:rsidR="00752AAE" w:rsidRDefault="00752AAE" w:rsidP="00711CC8">
            <w:pPr>
              <w:rPr>
                <w:sz w:val="16"/>
                <w:szCs w:val="16"/>
                <w:lang w:eastAsia="en-US"/>
              </w:rPr>
            </w:pPr>
          </w:p>
          <w:p w:rsidR="00752AAE" w:rsidRDefault="00752AAE" w:rsidP="00711CC8">
            <w:pPr>
              <w:rPr>
                <w:sz w:val="16"/>
                <w:szCs w:val="16"/>
                <w:lang w:eastAsia="en-US"/>
              </w:rPr>
            </w:pPr>
          </w:p>
          <w:p w:rsidR="00752AAE" w:rsidRPr="00554469" w:rsidRDefault="00752AAE" w:rsidP="00711CC8">
            <w:pPr>
              <w:rPr>
                <w:sz w:val="16"/>
                <w:szCs w:val="16"/>
                <w:lang w:eastAsia="en-US"/>
              </w:rPr>
            </w:pPr>
            <w:r>
              <w:rPr>
                <w:sz w:val="16"/>
                <w:szCs w:val="16"/>
                <w:lang w:eastAsia="en-US"/>
              </w:rPr>
              <w:t>3</w:t>
            </w:r>
          </w:p>
        </w:tc>
        <w:tc>
          <w:tcPr>
            <w:tcW w:w="5760" w:type="dxa"/>
            <w:shd w:val="clear" w:color="auto" w:fill="auto"/>
            <w:vAlign w:val="center"/>
          </w:tcPr>
          <w:p w:rsidR="00E636B1" w:rsidRDefault="00E636B1" w:rsidP="00711CC8">
            <w:pPr>
              <w:rPr>
                <w:sz w:val="16"/>
                <w:szCs w:val="16"/>
                <w:lang w:eastAsia="en-US"/>
              </w:rPr>
            </w:pPr>
            <w:r w:rsidRPr="00554469">
              <w:rPr>
                <w:sz w:val="16"/>
                <w:szCs w:val="16"/>
                <w:lang w:eastAsia="en-US"/>
              </w:rPr>
              <w:t xml:space="preserve">Corrected error in </w:t>
            </w:r>
            <w:r w:rsidRPr="00812BBE">
              <w:rPr>
                <w:sz w:val="16"/>
                <w:szCs w:val="16"/>
                <w:lang w:eastAsia="en-US"/>
              </w:rPr>
              <w:t>illustrative direct requirements table (A matrix)</w:t>
            </w:r>
            <w:r>
              <w:rPr>
                <w:sz w:val="16"/>
                <w:szCs w:val="16"/>
                <w:lang w:eastAsia="en-US"/>
              </w:rPr>
              <w:t xml:space="preserve"> and u</w:t>
            </w:r>
            <w:r w:rsidRPr="00554469">
              <w:rPr>
                <w:sz w:val="16"/>
                <w:szCs w:val="16"/>
                <w:lang w:eastAsia="en-US"/>
              </w:rPr>
              <w:t>pdated ONS web links to</w:t>
            </w:r>
            <w:r>
              <w:rPr>
                <w:sz w:val="16"/>
                <w:szCs w:val="16"/>
                <w:lang w:eastAsia="en-US"/>
              </w:rPr>
              <w:t xml:space="preserve"> their</w:t>
            </w:r>
            <w:r w:rsidRPr="00554469">
              <w:rPr>
                <w:sz w:val="16"/>
                <w:szCs w:val="16"/>
                <w:lang w:eastAsia="en-US"/>
              </w:rPr>
              <w:t xml:space="preserve"> new format</w:t>
            </w:r>
          </w:p>
          <w:p w:rsidR="00E636B1" w:rsidRDefault="00E636B1" w:rsidP="00711CC8">
            <w:pPr>
              <w:rPr>
                <w:rStyle w:val="Hyperlink"/>
                <w:sz w:val="16"/>
                <w:szCs w:val="16"/>
                <w:lang w:eastAsia="en-US"/>
              </w:rPr>
            </w:pPr>
            <w:r>
              <w:rPr>
                <w:sz w:val="16"/>
                <w:szCs w:val="16"/>
                <w:lang w:eastAsia="en-US"/>
              </w:rPr>
              <w:t xml:space="preserve">Updated to reflect more recent methodology changes as a result of the move to </w:t>
            </w:r>
            <w:hyperlink r:id="rId14" w:history="1">
              <w:r w:rsidRPr="00DD3704">
                <w:rPr>
                  <w:rStyle w:val="Hyperlink"/>
                  <w:sz w:val="16"/>
                  <w:szCs w:val="16"/>
                  <w:lang w:eastAsia="en-US"/>
                </w:rPr>
                <w:t>European System of Accounts 2010</w:t>
              </w:r>
            </w:hyperlink>
            <w:r>
              <w:rPr>
                <w:rStyle w:val="FootnoteReference"/>
                <w:sz w:val="16"/>
                <w:szCs w:val="16"/>
                <w:lang w:eastAsia="en-US"/>
              </w:rPr>
              <w:footnoteReference w:id="1"/>
            </w:r>
            <w:r>
              <w:rPr>
                <w:sz w:val="16"/>
                <w:szCs w:val="16"/>
                <w:lang w:eastAsia="en-US"/>
              </w:rPr>
              <w:t xml:space="preserve"> compliance and </w:t>
            </w:r>
            <w:hyperlink r:id="rId15" w:history="1">
              <w:r w:rsidRPr="00DD3704">
                <w:rPr>
                  <w:rStyle w:val="Hyperlink"/>
                  <w:sz w:val="16"/>
                  <w:szCs w:val="16"/>
                  <w:lang w:eastAsia="en-US"/>
                </w:rPr>
                <w:t>Standard Industrial Classifications 2007</w:t>
              </w:r>
            </w:hyperlink>
            <w:r>
              <w:rPr>
                <w:rStyle w:val="FootnoteReference"/>
                <w:sz w:val="16"/>
                <w:szCs w:val="16"/>
                <w:lang w:eastAsia="en-US"/>
              </w:rPr>
              <w:footnoteReference w:id="2"/>
            </w:r>
          </w:p>
          <w:p w:rsidR="00752AAE" w:rsidRPr="00554469" w:rsidRDefault="00752AAE" w:rsidP="00711CC8">
            <w:pPr>
              <w:rPr>
                <w:sz w:val="16"/>
                <w:szCs w:val="16"/>
                <w:lang w:eastAsia="en-US"/>
              </w:rPr>
            </w:pPr>
            <w:r>
              <w:rPr>
                <w:sz w:val="16"/>
                <w:szCs w:val="16"/>
                <w:lang w:eastAsia="en-US"/>
              </w:rPr>
              <w:t>Updated to reflect changes up to the 1998-2014 tables published in July 2017</w:t>
            </w:r>
          </w:p>
        </w:tc>
        <w:tc>
          <w:tcPr>
            <w:tcW w:w="1620" w:type="dxa"/>
            <w:shd w:val="clear" w:color="auto" w:fill="auto"/>
          </w:tcPr>
          <w:p w:rsidR="00E636B1" w:rsidRDefault="00E636B1" w:rsidP="00711CC8">
            <w:pPr>
              <w:rPr>
                <w:sz w:val="16"/>
                <w:szCs w:val="16"/>
                <w:lang w:eastAsia="en-US"/>
              </w:rPr>
            </w:pPr>
            <w:r w:rsidRPr="00554469">
              <w:rPr>
                <w:sz w:val="16"/>
                <w:szCs w:val="16"/>
                <w:lang w:eastAsia="en-US"/>
              </w:rPr>
              <w:t>September 2011</w:t>
            </w:r>
          </w:p>
          <w:p w:rsidR="00E636B1" w:rsidRDefault="00E636B1" w:rsidP="00711CC8">
            <w:pPr>
              <w:rPr>
                <w:sz w:val="16"/>
                <w:szCs w:val="16"/>
                <w:lang w:eastAsia="en-US"/>
              </w:rPr>
            </w:pPr>
          </w:p>
          <w:p w:rsidR="00E636B1" w:rsidRDefault="00E636B1" w:rsidP="00711CC8">
            <w:pPr>
              <w:rPr>
                <w:sz w:val="16"/>
                <w:szCs w:val="16"/>
                <w:lang w:eastAsia="en-US"/>
              </w:rPr>
            </w:pPr>
            <w:r>
              <w:rPr>
                <w:sz w:val="16"/>
                <w:szCs w:val="16"/>
                <w:lang w:eastAsia="en-US"/>
              </w:rPr>
              <w:t>August 2015</w:t>
            </w:r>
          </w:p>
          <w:p w:rsidR="00752AAE" w:rsidRDefault="00752AAE" w:rsidP="00711CC8">
            <w:pPr>
              <w:rPr>
                <w:sz w:val="16"/>
                <w:szCs w:val="16"/>
                <w:lang w:eastAsia="en-US"/>
              </w:rPr>
            </w:pPr>
          </w:p>
          <w:p w:rsidR="00752AAE" w:rsidRDefault="00752AAE" w:rsidP="00711CC8">
            <w:pPr>
              <w:rPr>
                <w:sz w:val="16"/>
                <w:szCs w:val="16"/>
                <w:lang w:eastAsia="en-US"/>
              </w:rPr>
            </w:pPr>
          </w:p>
          <w:p w:rsidR="00752AAE" w:rsidRPr="00554469" w:rsidRDefault="00752AAE" w:rsidP="00711CC8">
            <w:pPr>
              <w:rPr>
                <w:sz w:val="16"/>
                <w:szCs w:val="16"/>
                <w:lang w:eastAsia="en-US"/>
              </w:rPr>
            </w:pPr>
            <w:r>
              <w:rPr>
                <w:sz w:val="16"/>
                <w:szCs w:val="16"/>
                <w:lang w:eastAsia="en-US"/>
              </w:rPr>
              <w:t>July 2017</w:t>
            </w:r>
          </w:p>
        </w:tc>
      </w:tr>
    </w:tbl>
    <w:p w:rsidR="00E636B1" w:rsidRDefault="00E636B1">
      <w:pPr>
        <w:rPr>
          <w:lang w:eastAsia="en-US"/>
        </w:rPr>
      </w:pPr>
    </w:p>
    <w:p w:rsidR="00E636B1" w:rsidRDefault="00E636B1">
      <w:pPr>
        <w:rPr>
          <w:b/>
          <w:bCs/>
          <w:color w:val="666699"/>
          <w:kern w:val="32"/>
          <w:sz w:val="32"/>
          <w:szCs w:val="32"/>
          <w:lang w:eastAsia="en-US"/>
        </w:rPr>
      </w:pPr>
      <w:r>
        <w:rPr>
          <w:lang w:eastAsia="en-US"/>
        </w:rPr>
        <w:br w:type="page"/>
      </w:r>
    </w:p>
    <w:p w:rsidR="00F172DA" w:rsidRDefault="005A1685" w:rsidP="005A1685">
      <w:pPr>
        <w:pStyle w:val="Heading1"/>
        <w:rPr>
          <w:lang w:eastAsia="en-US"/>
        </w:rPr>
      </w:pPr>
      <w:bookmarkStart w:id="3" w:name="_Toc428355085"/>
      <w:bookmarkStart w:id="4" w:name="_Toc497136985"/>
      <w:r>
        <w:rPr>
          <w:lang w:eastAsia="en-US"/>
        </w:rPr>
        <w:lastRenderedPageBreak/>
        <w:t>Scottish Input-Output Tables: Methodology Guide</w:t>
      </w:r>
      <w:bookmarkEnd w:id="0"/>
      <w:bookmarkEnd w:id="1"/>
      <w:bookmarkEnd w:id="2"/>
      <w:bookmarkEnd w:id="3"/>
      <w:bookmarkEnd w:id="4"/>
    </w:p>
    <w:p w:rsidR="004278C0" w:rsidRDefault="005A1685" w:rsidP="00AE3725">
      <w:pPr>
        <w:pStyle w:val="BodyText"/>
        <w:rPr>
          <w:lang w:eastAsia="en-US"/>
        </w:rPr>
      </w:pPr>
      <w:r>
        <w:rPr>
          <w:lang w:eastAsia="en-US"/>
        </w:rPr>
        <w:t xml:space="preserve">This </w:t>
      </w:r>
      <w:r w:rsidR="00AE3725">
        <w:rPr>
          <w:lang w:eastAsia="en-US"/>
        </w:rPr>
        <w:t>document</w:t>
      </w:r>
      <w:r>
        <w:rPr>
          <w:lang w:eastAsia="en-US"/>
        </w:rPr>
        <w:t xml:space="preserve"> describes the methodology employed </w:t>
      </w:r>
      <w:r w:rsidR="00AE3725">
        <w:rPr>
          <w:lang w:eastAsia="en-US"/>
        </w:rPr>
        <w:t xml:space="preserve">and data sources used </w:t>
      </w:r>
      <w:r>
        <w:rPr>
          <w:lang w:eastAsia="en-US"/>
        </w:rPr>
        <w:t xml:space="preserve">for the construction of </w:t>
      </w:r>
      <w:r w:rsidR="00F27A8A">
        <w:rPr>
          <w:lang w:eastAsia="en-US"/>
        </w:rPr>
        <w:t xml:space="preserve">the </w:t>
      </w:r>
      <w:r>
        <w:rPr>
          <w:lang w:eastAsia="en-US"/>
        </w:rPr>
        <w:t xml:space="preserve">Scottish </w:t>
      </w:r>
      <w:r w:rsidR="00F27A8A">
        <w:rPr>
          <w:lang w:eastAsia="en-US"/>
        </w:rPr>
        <w:t xml:space="preserve">Government </w:t>
      </w:r>
      <w:r w:rsidR="00AE3725">
        <w:rPr>
          <w:lang w:eastAsia="en-US"/>
        </w:rPr>
        <w:t>Supply and Use Tables and Analytical Input-Output tables.</w:t>
      </w:r>
    </w:p>
    <w:p w:rsidR="00812BBE" w:rsidRDefault="00812BBE" w:rsidP="00AE3725">
      <w:pPr>
        <w:pStyle w:val="BodyText"/>
        <w:rPr>
          <w:lang w:eastAsia="en-US"/>
        </w:rPr>
      </w:pPr>
      <w:r w:rsidRPr="00812BBE">
        <w:rPr>
          <w:lang w:eastAsia="en-US"/>
        </w:rPr>
        <w:t xml:space="preserve">At the request of the Chief Statistician, the UK Statistics Authority (UKSA) has re-designated the Scottish Input-Output Tables from National Statistics to Official Statistics. This brings us in line with the UK Input-Output Table re-designation detailed in </w:t>
      </w:r>
      <w:hyperlink r:id="rId16" w:history="1">
        <w:r w:rsidRPr="00915908">
          <w:rPr>
            <w:rStyle w:val="Hyperlink"/>
            <w:lang w:eastAsia="en-US"/>
          </w:rPr>
          <w:t>UKSA Assessment Report 300</w:t>
        </w:r>
      </w:hyperlink>
      <w:r w:rsidR="00915908">
        <w:rPr>
          <w:rStyle w:val="FootnoteReference"/>
          <w:lang w:eastAsia="en-US"/>
        </w:rPr>
        <w:footnoteReference w:id="3"/>
      </w:r>
      <w:r w:rsidRPr="00812BBE">
        <w:rPr>
          <w:lang w:eastAsia="en-US"/>
        </w:rPr>
        <w:t xml:space="preserve">. The report determined that the UK Tables should not carry the National Statistics designation, primarily because a key data source (the Purchase Inquiry) needs to be brought up to date. Our reliance on the same data led us to request that our Tables should also be re-designated. The correspondence between the Chief Statistician and the </w:t>
      </w:r>
      <w:hyperlink r:id="rId17" w:history="1">
        <w:r w:rsidRPr="00915908">
          <w:rPr>
            <w:rStyle w:val="Hyperlink"/>
            <w:lang w:eastAsia="en-US"/>
          </w:rPr>
          <w:t>UK Statistics Authority is published on the UKSA correspondence pages</w:t>
        </w:r>
      </w:hyperlink>
      <w:r w:rsidR="00915908">
        <w:rPr>
          <w:rStyle w:val="FootnoteReference"/>
          <w:lang w:eastAsia="en-US"/>
        </w:rPr>
        <w:footnoteReference w:id="4"/>
      </w:r>
      <w:r w:rsidRPr="00812BBE">
        <w:rPr>
          <w:lang w:eastAsia="en-US"/>
        </w:rPr>
        <w:t>.</w:t>
      </w:r>
    </w:p>
    <w:p w:rsidR="004278C0" w:rsidRDefault="00812BBE" w:rsidP="004278C0">
      <w:pPr>
        <w:pStyle w:val="BodyText"/>
        <w:rPr>
          <w:lang w:eastAsia="en-US"/>
        </w:rPr>
      </w:pPr>
      <w:r w:rsidRPr="00812BBE">
        <w:rPr>
          <w:lang w:eastAsia="en-US"/>
        </w:rPr>
        <w:t>Official statistics are produced by professionally independent statistical staff – more information on the standards of official statistics in Scotland can be accessed</w:t>
      </w:r>
      <w:r w:rsidR="00E636B1">
        <w:rPr>
          <w:lang w:eastAsia="en-US"/>
        </w:rPr>
        <w:t xml:space="preserve"> on the </w:t>
      </w:r>
      <w:hyperlink r:id="rId18" w:history="1">
        <w:r w:rsidR="00E636B1" w:rsidRPr="00E636B1">
          <w:rPr>
            <w:rStyle w:val="Hyperlink"/>
            <w:lang w:eastAsia="en-US"/>
          </w:rPr>
          <w:t>Scottish Government Statistics website</w:t>
        </w:r>
      </w:hyperlink>
      <w:r w:rsidR="00E636B1">
        <w:rPr>
          <w:rStyle w:val="FootnoteReference"/>
          <w:lang w:eastAsia="en-US"/>
        </w:rPr>
        <w:footnoteReference w:id="5"/>
      </w:r>
      <w:r w:rsidRPr="00812BBE">
        <w:rPr>
          <w:lang w:eastAsia="en-US"/>
        </w:rPr>
        <w:t>.</w:t>
      </w:r>
    </w:p>
    <w:p w:rsidR="005A1685" w:rsidRDefault="005A1685" w:rsidP="00A660F9">
      <w:pPr>
        <w:pStyle w:val="Heading3"/>
        <w:rPr>
          <w:lang w:eastAsia="en-US"/>
        </w:rPr>
      </w:pPr>
      <w:bookmarkStart w:id="5" w:name="_Toc292468931"/>
      <w:bookmarkStart w:id="6" w:name="_Toc292469148"/>
      <w:bookmarkStart w:id="7" w:name="_Toc292469225"/>
      <w:bookmarkStart w:id="8" w:name="_Toc428355086"/>
      <w:bookmarkStart w:id="9" w:name="_Toc497136986"/>
      <w:r>
        <w:rPr>
          <w:lang w:eastAsia="en-US"/>
        </w:rPr>
        <w:t>Acknowledgements</w:t>
      </w:r>
      <w:bookmarkEnd w:id="5"/>
      <w:bookmarkEnd w:id="6"/>
      <w:bookmarkEnd w:id="7"/>
      <w:bookmarkEnd w:id="8"/>
      <w:bookmarkEnd w:id="9"/>
    </w:p>
    <w:p w:rsidR="00AE3725" w:rsidRDefault="00AE3725" w:rsidP="00AE3725">
      <w:pPr>
        <w:pStyle w:val="BodyText"/>
        <w:rPr>
          <w:lang w:eastAsia="en-US"/>
        </w:rPr>
      </w:pPr>
      <w:r>
        <w:rPr>
          <w:lang w:eastAsia="en-US"/>
        </w:rPr>
        <w:t>This document and the latest tables were put together by the Input-Output statistics branch of the Office of the Chief Economic Adviser: Stevan Croasdale,</w:t>
      </w:r>
      <w:r w:rsidR="006E1D8A">
        <w:rPr>
          <w:lang w:eastAsia="en-US"/>
        </w:rPr>
        <w:t xml:space="preserve"> </w:t>
      </w:r>
      <w:r>
        <w:rPr>
          <w:lang w:eastAsia="en-US"/>
        </w:rPr>
        <w:t>Gary Campbell</w:t>
      </w:r>
      <w:r w:rsidR="006E1D8A">
        <w:rPr>
          <w:lang w:eastAsia="en-US"/>
        </w:rPr>
        <w:t xml:space="preserve"> and</w:t>
      </w:r>
      <w:r w:rsidR="00E754C9">
        <w:rPr>
          <w:lang w:eastAsia="en-US"/>
        </w:rPr>
        <w:t xml:space="preserve"> Robyn Donnelly</w:t>
      </w:r>
      <w:r>
        <w:rPr>
          <w:lang w:eastAsia="en-US"/>
        </w:rPr>
        <w:t>.</w:t>
      </w:r>
    </w:p>
    <w:p w:rsidR="00AE3725" w:rsidRPr="00AE3725" w:rsidRDefault="00AE3725" w:rsidP="00AE3725">
      <w:pPr>
        <w:pStyle w:val="BodyText"/>
        <w:rPr>
          <w:lang w:eastAsia="en-US"/>
        </w:rPr>
      </w:pPr>
      <w:r>
        <w:rPr>
          <w:lang w:eastAsia="en-US"/>
        </w:rPr>
        <w:t>We are grateful for comments and assistance provided by Sanjiv Mahajan at the Office for National Statistics (ONS). Acknowledgements are also due to our colleagues in the Office for National Statistics Input-Output Branch and the Input-Output Expert Users Group</w:t>
      </w:r>
      <w:r w:rsidR="007C5497">
        <w:rPr>
          <w:lang w:eastAsia="en-US"/>
        </w:rPr>
        <w:t xml:space="preserve"> and the UK Statistics Authority</w:t>
      </w:r>
      <w:r>
        <w:rPr>
          <w:lang w:eastAsia="en-US"/>
        </w:rPr>
        <w:t>.</w:t>
      </w:r>
    </w:p>
    <w:p w:rsidR="005A1685" w:rsidRDefault="005A1685" w:rsidP="00A660F9">
      <w:pPr>
        <w:pStyle w:val="Heading3"/>
        <w:rPr>
          <w:lang w:eastAsia="en-US"/>
        </w:rPr>
      </w:pPr>
      <w:bookmarkStart w:id="10" w:name="_Toc292468932"/>
      <w:bookmarkStart w:id="11" w:name="_Toc292469149"/>
      <w:bookmarkStart w:id="12" w:name="_Toc292469226"/>
      <w:bookmarkStart w:id="13" w:name="_Toc428355087"/>
      <w:bookmarkStart w:id="14" w:name="_Toc497136987"/>
      <w:r>
        <w:rPr>
          <w:lang w:eastAsia="en-US"/>
        </w:rPr>
        <w:t>Contacts</w:t>
      </w:r>
      <w:bookmarkEnd w:id="10"/>
      <w:bookmarkEnd w:id="11"/>
      <w:bookmarkEnd w:id="12"/>
      <w:bookmarkEnd w:id="13"/>
      <w:bookmarkEnd w:id="14"/>
    </w:p>
    <w:p w:rsidR="005A1685" w:rsidRDefault="005A1685" w:rsidP="00AE3725">
      <w:pPr>
        <w:pStyle w:val="BodyText"/>
        <w:rPr>
          <w:lang w:eastAsia="en-US"/>
        </w:rPr>
      </w:pPr>
      <w:r>
        <w:rPr>
          <w:lang w:eastAsia="en-US"/>
        </w:rPr>
        <w:t>Any inquiries, comments or advice are welcome and should be made to:</w:t>
      </w:r>
    </w:p>
    <w:p w:rsidR="00A660F9" w:rsidRPr="00A660F9" w:rsidRDefault="00A660F9" w:rsidP="00A660F9">
      <w:pPr>
        <w:pStyle w:val="BodyText"/>
        <w:rPr>
          <w:b/>
          <w:lang w:eastAsia="en-US"/>
        </w:rPr>
      </w:pPr>
      <w:r w:rsidRPr="00A660F9">
        <w:rPr>
          <w:b/>
          <w:lang w:eastAsia="en-US"/>
        </w:rPr>
        <w:t>The Scottish Government Input-Output team</w:t>
      </w:r>
    </w:p>
    <w:p w:rsidR="00A660F9" w:rsidRDefault="00A660F9" w:rsidP="00D9496A">
      <w:pPr>
        <w:pStyle w:val="BodyText"/>
        <w:jc w:val="left"/>
        <w:rPr>
          <w:lang w:eastAsia="en-US"/>
        </w:rPr>
      </w:pPr>
      <w:r>
        <w:rPr>
          <w:lang w:eastAsia="en-US"/>
        </w:rPr>
        <w:t xml:space="preserve">Room </w:t>
      </w:r>
      <w:r w:rsidR="006E1D8A">
        <w:rPr>
          <w:lang w:eastAsia="en-US"/>
        </w:rPr>
        <w:t>4WR</w:t>
      </w:r>
      <w:r>
        <w:rPr>
          <w:lang w:eastAsia="en-US"/>
        </w:rPr>
        <w:t xml:space="preserve">, </w:t>
      </w:r>
      <w:r>
        <w:rPr>
          <w:lang w:eastAsia="en-US"/>
        </w:rPr>
        <w:br/>
        <w:t xml:space="preserve">St. Andrew's House </w:t>
      </w:r>
      <w:r>
        <w:rPr>
          <w:lang w:eastAsia="en-US"/>
        </w:rPr>
        <w:br/>
        <w:t xml:space="preserve">Regent Road, </w:t>
      </w:r>
      <w:r>
        <w:rPr>
          <w:lang w:eastAsia="en-US"/>
        </w:rPr>
        <w:br/>
        <w:t>Edinburgh, EH1 3DG</w:t>
      </w:r>
    </w:p>
    <w:p w:rsidR="005A1685" w:rsidRPr="00A660F9" w:rsidRDefault="00A660F9" w:rsidP="00D9496A">
      <w:pPr>
        <w:pStyle w:val="BodyText"/>
        <w:jc w:val="left"/>
        <w:rPr>
          <w:lang w:val="fr-FR" w:eastAsia="en-US"/>
        </w:rPr>
      </w:pPr>
      <w:r w:rsidRPr="00A660F9">
        <w:rPr>
          <w:b/>
          <w:lang w:val="fr-FR" w:eastAsia="en-US"/>
        </w:rPr>
        <w:t>email</w:t>
      </w:r>
      <w:r w:rsidRPr="00A660F9">
        <w:rPr>
          <w:lang w:val="fr-FR" w:eastAsia="en-US"/>
        </w:rPr>
        <w:t xml:space="preserve"> </w:t>
      </w:r>
      <w:hyperlink r:id="rId19" w:history="1">
        <w:r w:rsidRPr="00A660F9">
          <w:rPr>
            <w:rStyle w:val="Hyperlink"/>
            <w:lang w:val="fr-FR" w:eastAsia="en-US"/>
          </w:rPr>
          <w:t>inputoutput@scotland.gsi.gov.uk</w:t>
        </w:r>
      </w:hyperlink>
      <w:r w:rsidRPr="00A660F9">
        <w:rPr>
          <w:lang w:val="fr-FR" w:eastAsia="en-US"/>
        </w:rPr>
        <w:br/>
      </w:r>
      <w:r w:rsidRPr="00A660F9">
        <w:rPr>
          <w:b/>
          <w:lang w:val="fr-FR" w:eastAsia="en-US"/>
        </w:rPr>
        <w:t>web</w:t>
      </w:r>
      <w:r w:rsidRPr="00A660F9">
        <w:rPr>
          <w:lang w:val="fr-FR" w:eastAsia="en-US"/>
        </w:rPr>
        <w:t xml:space="preserve"> </w:t>
      </w:r>
      <w:hyperlink r:id="rId20" w:history="1">
        <w:r w:rsidR="00F27A8A" w:rsidRPr="007E5E6D">
          <w:rPr>
            <w:rStyle w:val="Hyperlink"/>
            <w:lang w:val="fr-FR" w:eastAsia="en-US"/>
          </w:rPr>
          <w:t>www.scotland.gov.uk/input-ouput</w:t>
        </w:r>
      </w:hyperlink>
      <w:r>
        <w:rPr>
          <w:lang w:val="fr-FR" w:eastAsia="en-US"/>
        </w:rPr>
        <w:br/>
      </w:r>
      <w:r w:rsidRPr="00812BBE">
        <w:rPr>
          <w:b/>
          <w:lang w:eastAsia="en-US"/>
        </w:rPr>
        <w:t>telephone</w:t>
      </w:r>
      <w:r w:rsidRPr="00A660F9">
        <w:rPr>
          <w:lang w:val="fr-FR" w:eastAsia="en-US"/>
        </w:rPr>
        <w:t xml:space="preserve"> +44(0)131 244 3330</w:t>
      </w:r>
    </w:p>
    <w:p w:rsidR="00E636B1" w:rsidRDefault="00E636B1" w:rsidP="00AE2BEB">
      <w:pPr>
        <w:rPr>
          <w:lang w:eastAsia="en-US"/>
        </w:rPr>
      </w:pPr>
    </w:p>
    <w:p w:rsidR="00E636B1" w:rsidRPr="00433FEA" w:rsidRDefault="00E636B1" w:rsidP="00AE2BEB">
      <w:pPr>
        <w:rPr>
          <w:lang w:eastAsia="en-US"/>
        </w:rPr>
        <w:sectPr w:rsidR="00E636B1" w:rsidRPr="00433FEA" w:rsidSect="00AB54FF">
          <w:pgSz w:w="11906" w:h="16838" w:code="9"/>
          <w:pgMar w:top="1440" w:right="1440" w:bottom="1440" w:left="1440" w:header="720" w:footer="720" w:gutter="0"/>
          <w:cols w:space="708"/>
          <w:docGrid w:linePitch="360"/>
        </w:sectPr>
      </w:pPr>
    </w:p>
    <w:p w:rsidR="00F172DA" w:rsidRPr="00A660F9" w:rsidRDefault="00F172DA" w:rsidP="004A54D7">
      <w:pPr>
        <w:pStyle w:val="Heading1"/>
        <w:rPr>
          <w:lang w:val="fr-FR" w:eastAsia="en-US"/>
        </w:rPr>
      </w:pPr>
      <w:bookmarkStart w:id="15" w:name="_Toc290646623"/>
      <w:bookmarkStart w:id="16" w:name="_Toc290646818"/>
      <w:bookmarkStart w:id="17" w:name="_Toc290647009"/>
      <w:bookmarkStart w:id="18" w:name="_Toc290647153"/>
      <w:bookmarkStart w:id="19" w:name="_Toc290647200"/>
      <w:bookmarkStart w:id="20" w:name="_Toc290647287"/>
      <w:bookmarkStart w:id="21" w:name="_Toc290647526"/>
      <w:bookmarkStart w:id="22" w:name="_Toc290647626"/>
      <w:bookmarkStart w:id="23" w:name="_Toc290647693"/>
      <w:bookmarkStart w:id="24" w:name="_Toc290647773"/>
      <w:bookmarkStart w:id="25" w:name="_Toc292468933"/>
      <w:bookmarkStart w:id="26" w:name="_Toc292469150"/>
      <w:bookmarkStart w:id="27" w:name="_Toc292469227"/>
      <w:bookmarkStart w:id="28" w:name="_Toc428355088"/>
      <w:bookmarkStart w:id="29" w:name="_Toc497136988"/>
      <w:r w:rsidRPr="00A660F9">
        <w:rPr>
          <w:lang w:val="fr-FR" w:eastAsia="en-US"/>
        </w:rPr>
        <w:lastRenderedPageBreak/>
        <w:t>Contents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6221F1" w:rsidRDefault="00A660F9" w:rsidP="006221F1">
      <w:pPr>
        <w:pStyle w:val="TOC1"/>
        <w:rPr>
          <w:rFonts w:asciiTheme="minorHAnsi" w:eastAsiaTheme="minorEastAsia" w:hAnsiTheme="minorHAnsi" w:cstheme="minorBidi"/>
          <w:noProof/>
          <w:sz w:val="22"/>
          <w:szCs w:val="22"/>
        </w:rPr>
      </w:pPr>
      <w:r>
        <w:fldChar w:fldCharType="begin"/>
      </w:r>
      <w:r>
        <w:instrText xml:space="preserve"> TOC \o "1-3" \h \z </w:instrText>
      </w:r>
      <w:r>
        <w:fldChar w:fldCharType="separate"/>
      </w:r>
      <w:hyperlink w:anchor="_Toc497136985" w:history="1">
        <w:r w:rsidR="006221F1" w:rsidRPr="00FD5F47">
          <w:rPr>
            <w:rStyle w:val="Hyperlink"/>
            <w:noProof/>
            <w:lang w:eastAsia="en-US"/>
          </w:rPr>
          <w:t>Scottish Input-Output Tables: Methodology Guide</w:t>
        </w:r>
        <w:r w:rsidR="006221F1">
          <w:rPr>
            <w:noProof/>
            <w:webHidden/>
          </w:rPr>
          <w:tab/>
        </w:r>
        <w:r w:rsidR="006221F1">
          <w:rPr>
            <w:noProof/>
            <w:webHidden/>
          </w:rPr>
          <w:fldChar w:fldCharType="begin"/>
        </w:r>
        <w:r w:rsidR="006221F1">
          <w:rPr>
            <w:noProof/>
            <w:webHidden/>
          </w:rPr>
          <w:instrText xml:space="preserve"> PAGEREF _Toc497136985 \h </w:instrText>
        </w:r>
        <w:r w:rsidR="006221F1">
          <w:rPr>
            <w:noProof/>
            <w:webHidden/>
          </w:rPr>
        </w:r>
        <w:r w:rsidR="006221F1">
          <w:rPr>
            <w:noProof/>
            <w:webHidden/>
          </w:rPr>
          <w:fldChar w:fldCharType="separate"/>
        </w:r>
        <w:r w:rsidR="006221F1">
          <w:rPr>
            <w:noProof/>
            <w:webHidden/>
          </w:rPr>
          <w:t>3</w:t>
        </w:r>
        <w:r w:rsidR="006221F1">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6986" w:history="1">
        <w:r w:rsidRPr="00FD5F47">
          <w:rPr>
            <w:rStyle w:val="Hyperlink"/>
            <w:noProof/>
            <w:lang w:eastAsia="en-US"/>
          </w:rPr>
          <w:t>Acknowledgements</w:t>
        </w:r>
        <w:r>
          <w:rPr>
            <w:noProof/>
            <w:webHidden/>
          </w:rPr>
          <w:tab/>
        </w:r>
        <w:r>
          <w:rPr>
            <w:noProof/>
            <w:webHidden/>
          </w:rPr>
          <w:fldChar w:fldCharType="begin"/>
        </w:r>
        <w:r>
          <w:rPr>
            <w:noProof/>
            <w:webHidden/>
          </w:rPr>
          <w:instrText xml:space="preserve"> PAGEREF _Toc497136986 \h </w:instrText>
        </w:r>
        <w:r>
          <w:rPr>
            <w:noProof/>
            <w:webHidden/>
          </w:rPr>
        </w:r>
        <w:r>
          <w:rPr>
            <w:noProof/>
            <w:webHidden/>
          </w:rPr>
          <w:fldChar w:fldCharType="separate"/>
        </w:r>
        <w:r>
          <w:rPr>
            <w:noProof/>
            <w:webHidden/>
          </w:rPr>
          <w:t>3</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6987" w:history="1">
        <w:r w:rsidRPr="00FD5F47">
          <w:rPr>
            <w:rStyle w:val="Hyperlink"/>
            <w:noProof/>
            <w:lang w:eastAsia="en-US"/>
          </w:rPr>
          <w:t>Contacts</w:t>
        </w:r>
        <w:r>
          <w:rPr>
            <w:noProof/>
            <w:webHidden/>
          </w:rPr>
          <w:tab/>
        </w:r>
        <w:r>
          <w:rPr>
            <w:noProof/>
            <w:webHidden/>
          </w:rPr>
          <w:fldChar w:fldCharType="begin"/>
        </w:r>
        <w:r>
          <w:rPr>
            <w:noProof/>
            <w:webHidden/>
          </w:rPr>
          <w:instrText xml:space="preserve"> PAGEREF _Toc497136987 \h </w:instrText>
        </w:r>
        <w:r>
          <w:rPr>
            <w:noProof/>
            <w:webHidden/>
          </w:rPr>
        </w:r>
        <w:r>
          <w:rPr>
            <w:noProof/>
            <w:webHidden/>
          </w:rPr>
          <w:fldChar w:fldCharType="separate"/>
        </w:r>
        <w:r>
          <w:rPr>
            <w:noProof/>
            <w:webHidden/>
          </w:rPr>
          <w:t>3</w:t>
        </w:r>
        <w:r>
          <w:rPr>
            <w:noProof/>
            <w:webHidden/>
          </w:rPr>
          <w:fldChar w:fldCharType="end"/>
        </w:r>
      </w:hyperlink>
    </w:p>
    <w:p w:rsidR="006221F1" w:rsidRDefault="006221F1" w:rsidP="006221F1">
      <w:pPr>
        <w:pStyle w:val="TOC1"/>
        <w:rPr>
          <w:rFonts w:asciiTheme="minorHAnsi" w:eastAsiaTheme="minorEastAsia" w:hAnsiTheme="minorHAnsi" w:cstheme="minorBidi"/>
          <w:noProof/>
          <w:sz w:val="22"/>
          <w:szCs w:val="22"/>
        </w:rPr>
      </w:pPr>
      <w:hyperlink w:anchor="_Toc497136988" w:history="1">
        <w:r w:rsidRPr="00FD5F47">
          <w:rPr>
            <w:rStyle w:val="Hyperlink"/>
            <w:noProof/>
            <w:lang w:val="fr-FR" w:eastAsia="en-US"/>
          </w:rPr>
          <w:t>Contents</w:t>
        </w:r>
        <w:r>
          <w:rPr>
            <w:noProof/>
            <w:webHidden/>
          </w:rPr>
          <w:tab/>
        </w:r>
        <w:r>
          <w:rPr>
            <w:noProof/>
            <w:webHidden/>
          </w:rPr>
          <w:fldChar w:fldCharType="begin"/>
        </w:r>
        <w:r>
          <w:rPr>
            <w:noProof/>
            <w:webHidden/>
          </w:rPr>
          <w:instrText xml:space="preserve"> PAGEREF _Toc497136988 \h </w:instrText>
        </w:r>
        <w:r>
          <w:rPr>
            <w:noProof/>
            <w:webHidden/>
          </w:rPr>
        </w:r>
        <w:r>
          <w:rPr>
            <w:noProof/>
            <w:webHidden/>
          </w:rPr>
          <w:fldChar w:fldCharType="separate"/>
        </w:r>
        <w:r>
          <w:rPr>
            <w:noProof/>
            <w:webHidden/>
          </w:rPr>
          <w:t>4</w:t>
        </w:r>
        <w:r>
          <w:rPr>
            <w:noProof/>
            <w:webHidden/>
          </w:rPr>
          <w:fldChar w:fldCharType="end"/>
        </w:r>
      </w:hyperlink>
    </w:p>
    <w:p w:rsidR="006221F1" w:rsidRDefault="006221F1" w:rsidP="006221F1">
      <w:pPr>
        <w:pStyle w:val="TOC1"/>
        <w:rPr>
          <w:rFonts w:asciiTheme="minorHAnsi" w:eastAsiaTheme="minorEastAsia" w:hAnsiTheme="minorHAnsi" w:cstheme="minorBidi"/>
          <w:noProof/>
          <w:sz w:val="22"/>
          <w:szCs w:val="22"/>
        </w:rPr>
      </w:pPr>
      <w:hyperlink w:anchor="_Toc497136989" w:history="1">
        <w:r w:rsidRPr="00FD5F47">
          <w:rPr>
            <w:rStyle w:val="Hyperlink"/>
            <w:noProof/>
          </w:rPr>
          <w:t>An Overview of the Supply and Use Tables (SUTs)</w:t>
        </w:r>
        <w:r>
          <w:rPr>
            <w:noProof/>
            <w:webHidden/>
          </w:rPr>
          <w:tab/>
        </w:r>
        <w:r>
          <w:rPr>
            <w:noProof/>
            <w:webHidden/>
          </w:rPr>
          <w:fldChar w:fldCharType="begin"/>
        </w:r>
        <w:r>
          <w:rPr>
            <w:noProof/>
            <w:webHidden/>
          </w:rPr>
          <w:instrText xml:space="preserve"> PAGEREF _Toc497136989 \h </w:instrText>
        </w:r>
        <w:r>
          <w:rPr>
            <w:noProof/>
            <w:webHidden/>
          </w:rPr>
        </w:r>
        <w:r>
          <w:rPr>
            <w:noProof/>
            <w:webHidden/>
          </w:rPr>
          <w:fldChar w:fldCharType="separate"/>
        </w:r>
        <w:r>
          <w:rPr>
            <w:noProof/>
            <w:webHidden/>
          </w:rPr>
          <w:t>1</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6990" w:history="1">
        <w:r w:rsidRPr="00FD5F47">
          <w:rPr>
            <w:rStyle w:val="Hyperlink"/>
            <w:noProof/>
          </w:rPr>
          <w:t>The Supply Table</w:t>
        </w:r>
        <w:r>
          <w:rPr>
            <w:noProof/>
            <w:webHidden/>
          </w:rPr>
          <w:tab/>
        </w:r>
        <w:r>
          <w:rPr>
            <w:noProof/>
            <w:webHidden/>
          </w:rPr>
          <w:fldChar w:fldCharType="begin"/>
        </w:r>
        <w:r>
          <w:rPr>
            <w:noProof/>
            <w:webHidden/>
          </w:rPr>
          <w:instrText xml:space="preserve"> PAGEREF _Toc497136990 \h </w:instrText>
        </w:r>
        <w:r>
          <w:rPr>
            <w:noProof/>
            <w:webHidden/>
          </w:rPr>
        </w:r>
        <w:r>
          <w:rPr>
            <w:noProof/>
            <w:webHidden/>
          </w:rPr>
          <w:fldChar w:fldCharType="separate"/>
        </w:r>
        <w:r>
          <w:rPr>
            <w:noProof/>
            <w:webHidden/>
          </w:rPr>
          <w:t>1</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6991" w:history="1">
        <w:r w:rsidRPr="00FD5F47">
          <w:rPr>
            <w:rStyle w:val="Hyperlink"/>
            <w:noProof/>
          </w:rPr>
          <w:t>The Use Table</w:t>
        </w:r>
        <w:r>
          <w:rPr>
            <w:noProof/>
            <w:webHidden/>
          </w:rPr>
          <w:tab/>
        </w:r>
        <w:r>
          <w:rPr>
            <w:noProof/>
            <w:webHidden/>
          </w:rPr>
          <w:fldChar w:fldCharType="begin"/>
        </w:r>
        <w:r>
          <w:rPr>
            <w:noProof/>
            <w:webHidden/>
          </w:rPr>
          <w:instrText xml:space="preserve"> PAGEREF _Toc497136991 \h </w:instrText>
        </w:r>
        <w:r>
          <w:rPr>
            <w:noProof/>
            <w:webHidden/>
          </w:rPr>
        </w:r>
        <w:r>
          <w:rPr>
            <w:noProof/>
            <w:webHidden/>
          </w:rPr>
          <w:fldChar w:fldCharType="separate"/>
        </w:r>
        <w:r>
          <w:rPr>
            <w:noProof/>
            <w:webHidden/>
          </w:rPr>
          <w:t>1</w:t>
        </w:r>
        <w:r>
          <w:rPr>
            <w:noProof/>
            <w:webHidden/>
          </w:rPr>
          <w:fldChar w:fldCharType="end"/>
        </w:r>
      </w:hyperlink>
    </w:p>
    <w:p w:rsidR="006221F1" w:rsidRDefault="006221F1" w:rsidP="006221F1">
      <w:pPr>
        <w:pStyle w:val="TOC2"/>
        <w:rPr>
          <w:rFonts w:asciiTheme="minorHAnsi" w:eastAsiaTheme="minorEastAsia" w:hAnsiTheme="minorHAnsi" w:cstheme="minorBidi"/>
          <w:noProof/>
          <w:sz w:val="22"/>
          <w:szCs w:val="22"/>
        </w:rPr>
      </w:pPr>
      <w:hyperlink w:anchor="_Toc497136992" w:history="1">
        <w:r w:rsidRPr="00FD5F47">
          <w:rPr>
            <w:rStyle w:val="Hyperlink"/>
            <w:noProof/>
          </w:rPr>
          <w:t>The Supply Table</w:t>
        </w:r>
        <w:r>
          <w:rPr>
            <w:noProof/>
            <w:webHidden/>
          </w:rPr>
          <w:tab/>
        </w:r>
        <w:r>
          <w:rPr>
            <w:noProof/>
            <w:webHidden/>
          </w:rPr>
          <w:fldChar w:fldCharType="begin"/>
        </w:r>
        <w:r>
          <w:rPr>
            <w:noProof/>
            <w:webHidden/>
          </w:rPr>
          <w:instrText xml:space="preserve"> PAGEREF _Toc497136992 \h </w:instrText>
        </w:r>
        <w:r>
          <w:rPr>
            <w:noProof/>
            <w:webHidden/>
          </w:rPr>
        </w:r>
        <w:r>
          <w:rPr>
            <w:noProof/>
            <w:webHidden/>
          </w:rPr>
          <w:fldChar w:fldCharType="separate"/>
        </w:r>
        <w:r>
          <w:rPr>
            <w:noProof/>
            <w:webHidden/>
          </w:rPr>
          <w:t>2</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6993" w:history="1">
        <w:r w:rsidRPr="00FD5F47">
          <w:rPr>
            <w:rStyle w:val="Hyperlink"/>
            <w:noProof/>
          </w:rPr>
          <w:t>Interpretation of the Supply Table</w:t>
        </w:r>
        <w:r>
          <w:rPr>
            <w:noProof/>
            <w:webHidden/>
          </w:rPr>
          <w:tab/>
        </w:r>
        <w:r>
          <w:rPr>
            <w:noProof/>
            <w:webHidden/>
          </w:rPr>
          <w:fldChar w:fldCharType="begin"/>
        </w:r>
        <w:r>
          <w:rPr>
            <w:noProof/>
            <w:webHidden/>
          </w:rPr>
          <w:instrText xml:space="preserve"> PAGEREF _Toc497136993 \h </w:instrText>
        </w:r>
        <w:r>
          <w:rPr>
            <w:noProof/>
            <w:webHidden/>
          </w:rPr>
        </w:r>
        <w:r>
          <w:rPr>
            <w:noProof/>
            <w:webHidden/>
          </w:rPr>
          <w:fldChar w:fldCharType="separate"/>
        </w:r>
        <w:r>
          <w:rPr>
            <w:noProof/>
            <w:webHidden/>
          </w:rPr>
          <w:t>3</w:t>
        </w:r>
        <w:r>
          <w:rPr>
            <w:noProof/>
            <w:webHidden/>
          </w:rPr>
          <w:fldChar w:fldCharType="end"/>
        </w:r>
      </w:hyperlink>
    </w:p>
    <w:p w:rsidR="006221F1" w:rsidRDefault="006221F1" w:rsidP="006221F1">
      <w:pPr>
        <w:pStyle w:val="TOC2"/>
        <w:rPr>
          <w:rFonts w:asciiTheme="minorHAnsi" w:eastAsiaTheme="minorEastAsia" w:hAnsiTheme="minorHAnsi" w:cstheme="minorBidi"/>
          <w:noProof/>
          <w:sz w:val="22"/>
          <w:szCs w:val="22"/>
        </w:rPr>
      </w:pPr>
      <w:hyperlink w:anchor="_Toc497136994" w:history="1">
        <w:r w:rsidRPr="00FD5F47">
          <w:rPr>
            <w:rStyle w:val="Hyperlink"/>
            <w:noProof/>
          </w:rPr>
          <w:t>The Use Table</w:t>
        </w:r>
        <w:r>
          <w:rPr>
            <w:noProof/>
            <w:webHidden/>
          </w:rPr>
          <w:tab/>
        </w:r>
        <w:r>
          <w:rPr>
            <w:noProof/>
            <w:webHidden/>
          </w:rPr>
          <w:fldChar w:fldCharType="begin"/>
        </w:r>
        <w:r>
          <w:rPr>
            <w:noProof/>
            <w:webHidden/>
          </w:rPr>
          <w:instrText xml:space="preserve"> PAGEREF _Toc497136994 \h </w:instrText>
        </w:r>
        <w:r>
          <w:rPr>
            <w:noProof/>
            <w:webHidden/>
          </w:rPr>
        </w:r>
        <w:r>
          <w:rPr>
            <w:noProof/>
            <w:webHidden/>
          </w:rPr>
          <w:fldChar w:fldCharType="separate"/>
        </w:r>
        <w:r>
          <w:rPr>
            <w:noProof/>
            <w:webHidden/>
          </w:rPr>
          <w:t>4</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6995" w:history="1">
        <w:r w:rsidRPr="00FD5F47">
          <w:rPr>
            <w:rStyle w:val="Hyperlink"/>
            <w:noProof/>
          </w:rPr>
          <w:t>Interpretation of the Use Table</w:t>
        </w:r>
        <w:r>
          <w:rPr>
            <w:noProof/>
            <w:webHidden/>
          </w:rPr>
          <w:tab/>
        </w:r>
        <w:r>
          <w:rPr>
            <w:noProof/>
            <w:webHidden/>
          </w:rPr>
          <w:fldChar w:fldCharType="begin"/>
        </w:r>
        <w:r>
          <w:rPr>
            <w:noProof/>
            <w:webHidden/>
          </w:rPr>
          <w:instrText xml:space="preserve"> PAGEREF _Toc497136995 \h </w:instrText>
        </w:r>
        <w:r>
          <w:rPr>
            <w:noProof/>
            <w:webHidden/>
          </w:rPr>
        </w:r>
        <w:r>
          <w:rPr>
            <w:noProof/>
            <w:webHidden/>
          </w:rPr>
          <w:fldChar w:fldCharType="separate"/>
        </w:r>
        <w:r>
          <w:rPr>
            <w:noProof/>
            <w:webHidden/>
          </w:rPr>
          <w:t>5</w:t>
        </w:r>
        <w:r>
          <w:rPr>
            <w:noProof/>
            <w:webHidden/>
          </w:rPr>
          <w:fldChar w:fldCharType="end"/>
        </w:r>
      </w:hyperlink>
    </w:p>
    <w:p w:rsidR="006221F1" w:rsidRDefault="006221F1" w:rsidP="006221F1">
      <w:pPr>
        <w:pStyle w:val="TOC1"/>
        <w:rPr>
          <w:rFonts w:asciiTheme="minorHAnsi" w:eastAsiaTheme="minorEastAsia" w:hAnsiTheme="minorHAnsi" w:cstheme="minorBidi"/>
          <w:noProof/>
          <w:sz w:val="22"/>
          <w:szCs w:val="22"/>
        </w:rPr>
      </w:pPr>
      <w:hyperlink w:anchor="_Toc497136996" w:history="1">
        <w:r w:rsidRPr="00FD5F47">
          <w:rPr>
            <w:rStyle w:val="Hyperlink"/>
            <w:noProof/>
          </w:rPr>
          <w:t>Gross Domestic Product (GDP) and the Supply and Use Tables.</w:t>
        </w:r>
        <w:r>
          <w:rPr>
            <w:noProof/>
            <w:webHidden/>
          </w:rPr>
          <w:tab/>
        </w:r>
        <w:r>
          <w:rPr>
            <w:noProof/>
            <w:webHidden/>
          </w:rPr>
          <w:fldChar w:fldCharType="begin"/>
        </w:r>
        <w:r>
          <w:rPr>
            <w:noProof/>
            <w:webHidden/>
          </w:rPr>
          <w:instrText xml:space="preserve"> PAGEREF _Toc497136996 \h </w:instrText>
        </w:r>
        <w:r>
          <w:rPr>
            <w:noProof/>
            <w:webHidden/>
          </w:rPr>
        </w:r>
        <w:r>
          <w:rPr>
            <w:noProof/>
            <w:webHidden/>
          </w:rPr>
          <w:fldChar w:fldCharType="separate"/>
        </w:r>
        <w:r>
          <w:rPr>
            <w:noProof/>
            <w:webHidden/>
          </w:rPr>
          <w:t>6</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6997" w:history="1">
        <w:r w:rsidRPr="00FD5F47">
          <w:rPr>
            <w:rStyle w:val="Hyperlink"/>
            <w:noProof/>
          </w:rPr>
          <w:t>GDP measured using the Production approach</w:t>
        </w:r>
        <w:r>
          <w:rPr>
            <w:noProof/>
            <w:webHidden/>
          </w:rPr>
          <w:tab/>
        </w:r>
        <w:r>
          <w:rPr>
            <w:noProof/>
            <w:webHidden/>
          </w:rPr>
          <w:fldChar w:fldCharType="begin"/>
        </w:r>
        <w:r>
          <w:rPr>
            <w:noProof/>
            <w:webHidden/>
          </w:rPr>
          <w:instrText xml:space="preserve"> PAGEREF _Toc497136997 \h </w:instrText>
        </w:r>
        <w:r>
          <w:rPr>
            <w:noProof/>
            <w:webHidden/>
          </w:rPr>
        </w:r>
        <w:r>
          <w:rPr>
            <w:noProof/>
            <w:webHidden/>
          </w:rPr>
          <w:fldChar w:fldCharType="separate"/>
        </w:r>
        <w:r>
          <w:rPr>
            <w:noProof/>
            <w:webHidden/>
          </w:rPr>
          <w:t>6</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6998" w:history="1">
        <w:r w:rsidRPr="00FD5F47">
          <w:rPr>
            <w:rStyle w:val="Hyperlink"/>
            <w:noProof/>
          </w:rPr>
          <w:t>GDP measured using the Income approach</w:t>
        </w:r>
        <w:r>
          <w:rPr>
            <w:noProof/>
            <w:webHidden/>
          </w:rPr>
          <w:tab/>
        </w:r>
        <w:r>
          <w:rPr>
            <w:noProof/>
            <w:webHidden/>
          </w:rPr>
          <w:fldChar w:fldCharType="begin"/>
        </w:r>
        <w:r>
          <w:rPr>
            <w:noProof/>
            <w:webHidden/>
          </w:rPr>
          <w:instrText xml:space="preserve"> PAGEREF _Toc497136998 \h </w:instrText>
        </w:r>
        <w:r>
          <w:rPr>
            <w:noProof/>
            <w:webHidden/>
          </w:rPr>
        </w:r>
        <w:r>
          <w:rPr>
            <w:noProof/>
            <w:webHidden/>
          </w:rPr>
          <w:fldChar w:fldCharType="separate"/>
        </w:r>
        <w:r>
          <w:rPr>
            <w:noProof/>
            <w:webHidden/>
          </w:rPr>
          <w:t>6</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6999" w:history="1">
        <w:r w:rsidRPr="00FD5F47">
          <w:rPr>
            <w:rStyle w:val="Hyperlink"/>
            <w:noProof/>
          </w:rPr>
          <w:t>GDP measured using the Expenditure approach</w:t>
        </w:r>
        <w:r>
          <w:rPr>
            <w:noProof/>
            <w:webHidden/>
          </w:rPr>
          <w:tab/>
        </w:r>
        <w:r>
          <w:rPr>
            <w:noProof/>
            <w:webHidden/>
          </w:rPr>
          <w:fldChar w:fldCharType="begin"/>
        </w:r>
        <w:r>
          <w:rPr>
            <w:noProof/>
            <w:webHidden/>
          </w:rPr>
          <w:instrText xml:space="preserve"> PAGEREF _Toc497136999 \h </w:instrText>
        </w:r>
        <w:r>
          <w:rPr>
            <w:noProof/>
            <w:webHidden/>
          </w:rPr>
        </w:r>
        <w:r>
          <w:rPr>
            <w:noProof/>
            <w:webHidden/>
          </w:rPr>
          <w:fldChar w:fldCharType="separate"/>
        </w:r>
        <w:r>
          <w:rPr>
            <w:noProof/>
            <w:webHidden/>
          </w:rPr>
          <w:t>7</w:t>
        </w:r>
        <w:r>
          <w:rPr>
            <w:noProof/>
            <w:webHidden/>
          </w:rPr>
          <w:fldChar w:fldCharType="end"/>
        </w:r>
      </w:hyperlink>
    </w:p>
    <w:p w:rsidR="006221F1" w:rsidRDefault="006221F1" w:rsidP="006221F1">
      <w:pPr>
        <w:pStyle w:val="TOC1"/>
        <w:rPr>
          <w:rFonts w:asciiTheme="minorHAnsi" w:eastAsiaTheme="minorEastAsia" w:hAnsiTheme="minorHAnsi" w:cstheme="minorBidi"/>
          <w:noProof/>
          <w:sz w:val="22"/>
          <w:szCs w:val="22"/>
        </w:rPr>
      </w:pPr>
      <w:hyperlink w:anchor="_Toc497137000" w:history="1">
        <w:r w:rsidRPr="00FD5F47">
          <w:rPr>
            <w:rStyle w:val="Hyperlink"/>
            <w:noProof/>
          </w:rPr>
          <w:t>Compilation process for the Supply and Use Tables</w:t>
        </w:r>
        <w:r>
          <w:rPr>
            <w:noProof/>
            <w:webHidden/>
          </w:rPr>
          <w:tab/>
        </w:r>
        <w:r>
          <w:rPr>
            <w:noProof/>
            <w:webHidden/>
          </w:rPr>
          <w:fldChar w:fldCharType="begin"/>
        </w:r>
        <w:r>
          <w:rPr>
            <w:noProof/>
            <w:webHidden/>
          </w:rPr>
          <w:instrText xml:space="preserve"> PAGEREF _Toc497137000 \h </w:instrText>
        </w:r>
        <w:r>
          <w:rPr>
            <w:noProof/>
            <w:webHidden/>
          </w:rPr>
        </w:r>
        <w:r>
          <w:rPr>
            <w:noProof/>
            <w:webHidden/>
          </w:rPr>
          <w:fldChar w:fldCharType="separate"/>
        </w:r>
        <w:r>
          <w:rPr>
            <w:noProof/>
            <w:webHidden/>
          </w:rPr>
          <w:t>8</w:t>
        </w:r>
        <w:r>
          <w:rPr>
            <w:noProof/>
            <w:webHidden/>
          </w:rPr>
          <w:fldChar w:fldCharType="end"/>
        </w:r>
      </w:hyperlink>
    </w:p>
    <w:p w:rsidR="006221F1" w:rsidRDefault="006221F1" w:rsidP="006221F1">
      <w:pPr>
        <w:pStyle w:val="TOC2"/>
        <w:rPr>
          <w:rFonts w:asciiTheme="minorHAnsi" w:eastAsiaTheme="minorEastAsia" w:hAnsiTheme="minorHAnsi" w:cstheme="minorBidi"/>
          <w:noProof/>
          <w:sz w:val="22"/>
          <w:szCs w:val="22"/>
        </w:rPr>
      </w:pPr>
      <w:hyperlink w:anchor="_Toc497137001" w:history="1">
        <w:r w:rsidRPr="00FD5F47">
          <w:rPr>
            <w:rStyle w:val="Hyperlink"/>
            <w:noProof/>
          </w:rPr>
          <w:t>Construction of the initial Supply Table</w:t>
        </w:r>
        <w:r>
          <w:rPr>
            <w:noProof/>
            <w:webHidden/>
          </w:rPr>
          <w:tab/>
        </w:r>
        <w:r>
          <w:rPr>
            <w:noProof/>
            <w:webHidden/>
          </w:rPr>
          <w:fldChar w:fldCharType="begin"/>
        </w:r>
        <w:r>
          <w:rPr>
            <w:noProof/>
            <w:webHidden/>
          </w:rPr>
          <w:instrText xml:space="preserve"> PAGEREF _Toc497137001 \h </w:instrText>
        </w:r>
        <w:r>
          <w:rPr>
            <w:noProof/>
            <w:webHidden/>
          </w:rPr>
        </w:r>
        <w:r>
          <w:rPr>
            <w:noProof/>
            <w:webHidden/>
          </w:rPr>
          <w:fldChar w:fldCharType="separate"/>
        </w:r>
        <w:r>
          <w:rPr>
            <w:noProof/>
            <w:webHidden/>
          </w:rPr>
          <w:t>8</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02" w:history="1">
        <w:r w:rsidRPr="00FD5F47">
          <w:rPr>
            <w:rStyle w:val="Hyperlink"/>
            <w:noProof/>
          </w:rPr>
          <w:t>Market output, output for own final use and non-market output</w:t>
        </w:r>
        <w:r>
          <w:rPr>
            <w:noProof/>
            <w:webHidden/>
          </w:rPr>
          <w:tab/>
        </w:r>
        <w:r>
          <w:rPr>
            <w:noProof/>
            <w:webHidden/>
          </w:rPr>
          <w:fldChar w:fldCharType="begin"/>
        </w:r>
        <w:r>
          <w:rPr>
            <w:noProof/>
            <w:webHidden/>
          </w:rPr>
          <w:instrText xml:space="preserve"> PAGEREF _Toc497137002 \h </w:instrText>
        </w:r>
        <w:r>
          <w:rPr>
            <w:noProof/>
            <w:webHidden/>
          </w:rPr>
        </w:r>
        <w:r>
          <w:rPr>
            <w:noProof/>
            <w:webHidden/>
          </w:rPr>
          <w:fldChar w:fldCharType="separate"/>
        </w:r>
        <w:r>
          <w:rPr>
            <w:noProof/>
            <w:webHidden/>
          </w:rPr>
          <w:t>9</w:t>
        </w:r>
        <w:r>
          <w:rPr>
            <w:noProof/>
            <w:webHidden/>
          </w:rPr>
          <w:fldChar w:fldCharType="end"/>
        </w:r>
      </w:hyperlink>
    </w:p>
    <w:p w:rsidR="006221F1" w:rsidRDefault="006221F1" w:rsidP="006221F1">
      <w:pPr>
        <w:pStyle w:val="TOC2"/>
        <w:rPr>
          <w:rFonts w:asciiTheme="minorHAnsi" w:eastAsiaTheme="minorEastAsia" w:hAnsiTheme="minorHAnsi" w:cstheme="minorBidi"/>
          <w:noProof/>
          <w:sz w:val="22"/>
          <w:szCs w:val="22"/>
        </w:rPr>
      </w:pPr>
      <w:hyperlink w:anchor="_Toc497137003" w:history="1">
        <w:r w:rsidRPr="00FD5F47">
          <w:rPr>
            <w:rStyle w:val="Hyperlink"/>
            <w:noProof/>
          </w:rPr>
          <w:t>Construction of the Initial Combined Use Table</w:t>
        </w:r>
        <w:r>
          <w:rPr>
            <w:noProof/>
            <w:webHidden/>
          </w:rPr>
          <w:tab/>
        </w:r>
        <w:r>
          <w:rPr>
            <w:noProof/>
            <w:webHidden/>
          </w:rPr>
          <w:fldChar w:fldCharType="begin"/>
        </w:r>
        <w:r>
          <w:rPr>
            <w:noProof/>
            <w:webHidden/>
          </w:rPr>
          <w:instrText xml:space="preserve"> PAGEREF _Toc497137003 \h </w:instrText>
        </w:r>
        <w:r>
          <w:rPr>
            <w:noProof/>
            <w:webHidden/>
          </w:rPr>
        </w:r>
        <w:r>
          <w:rPr>
            <w:noProof/>
            <w:webHidden/>
          </w:rPr>
          <w:fldChar w:fldCharType="separate"/>
        </w:r>
        <w:r>
          <w:rPr>
            <w:noProof/>
            <w:webHidden/>
          </w:rPr>
          <w:t>10</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04" w:history="1">
        <w:r w:rsidRPr="00FD5F47">
          <w:rPr>
            <w:rStyle w:val="Hyperlink"/>
            <w:noProof/>
          </w:rPr>
          <w:t>Intermediate demand</w:t>
        </w:r>
        <w:r>
          <w:rPr>
            <w:noProof/>
            <w:webHidden/>
          </w:rPr>
          <w:tab/>
        </w:r>
        <w:r>
          <w:rPr>
            <w:noProof/>
            <w:webHidden/>
          </w:rPr>
          <w:fldChar w:fldCharType="begin"/>
        </w:r>
        <w:r>
          <w:rPr>
            <w:noProof/>
            <w:webHidden/>
          </w:rPr>
          <w:instrText xml:space="preserve"> PAGEREF _Toc497137004 \h </w:instrText>
        </w:r>
        <w:r>
          <w:rPr>
            <w:noProof/>
            <w:webHidden/>
          </w:rPr>
        </w:r>
        <w:r>
          <w:rPr>
            <w:noProof/>
            <w:webHidden/>
          </w:rPr>
          <w:fldChar w:fldCharType="separate"/>
        </w:r>
        <w:r>
          <w:rPr>
            <w:noProof/>
            <w:webHidden/>
          </w:rPr>
          <w:t>10</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05" w:history="1">
        <w:r w:rsidRPr="00FD5F47">
          <w:rPr>
            <w:rStyle w:val="Hyperlink"/>
            <w:noProof/>
          </w:rPr>
          <w:t>Final Demand</w:t>
        </w:r>
        <w:r>
          <w:rPr>
            <w:noProof/>
            <w:webHidden/>
          </w:rPr>
          <w:tab/>
        </w:r>
        <w:r>
          <w:rPr>
            <w:noProof/>
            <w:webHidden/>
          </w:rPr>
          <w:fldChar w:fldCharType="begin"/>
        </w:r>
        <w:r>
          <w:rPr>
            <w:noProof/>
            <w:webHidden/>
          </w:rPr>
          <w:instrText xml:space="preserve"> PAGEREF _Toc497137005 \h </w:instrText>
        </w:r>
        <w:r>
          <w:rPr>
            <w:noProof/>
            <w:webHidden/>
          </w:rPr>
        </w:r>
        <w:r>
          <w:rPr>
            <w:noProof/>
            <w:webHidden/>
          </w:rPr>
          <w:fldChar w:fldCharType="separate"/>
        </w:r>
        <w:r>
          <w:rPr>
            <w:noProof/>
            <w:webHidden/>
          </w:rPr>
          <w:t>11</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06" w:history="1">
        <w:r w:rsidRPr="00FD5F47">
          <w:rPr>
            <w:rStyle w:val="Hyperlink"/>
            <w:noProof/>
          </w:rPr>
          <w:t>Final Consumption Expenditure</w:t>
        </w:r>
        <w:r>
          <w:rPr>
            <w:noProof/>
            <w:webHidden/>
          </w:rPr>
          <w:tab/>
        </w:r>
        <w:r>
          <w:rPr>
            <w:noProof/>
            <w:webHidden/>
          </w:rPr>
          <w:fldChar w:fldCharType="begin"/>
        </w:r>
        <w:r>
          <w:rPr>
            <w:noProof/>
            <w:webHidden/>
          </w:rPr>
          <w:instrText xml:space="preserve"> PAGEREF _Toc497137006 \h </w:instrText>
        </w:r>
        <w:r>
          <w:rPr>
            <w:noProof/>
            <w:webHidden/>
          </w:rPr>
        </w:r>
        <w:r>
          <w:rPr>
            <w:noProof/>
            <w:webHidden/>
          </w:rPr>
          <w:fldChar w:fldCharType="separate"/>
        </w:r>
        <w:r>
          <w:rPr>
            <w:noProof/>
            <w:webHidden/>
          </w:rPr>
          <w:t>11</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07" w:history="1">
        <w:r w:rsidRPr="00FD5F47">
          <w:rPr>
            <w:rStyle w:val="Hyperlink"/>
            <w:noProof/>
          </w:rPr>
          <w:t>Gross Capital Formation</w:t>
        </w:r>
        <w:r>
          <w:rPr>
            <w:noProof/>
            <w:webHidden/>
          </w:rPr>
          <w:tab/>
        </w:r>
        <w:r>
          <w:rPr>
            <w:noProof/>
            <w:webHidden/>
          </w:rPr>
          <w:fldChar w:fldCharType="begin"/>
        </w:r>
        <w:r>
          <w:rPr>
            <w:noProof/>
            <w:webHidden/>
          </w:rPr>
          <w:instrText xml:space="preserve"> PAGEREF _Toc497137007 \h </w:instrText>
        </w:r>
        <w:r>
          <w:rPr>
            <w:noProof/>
            <w:webHidden/>
          </w:rPr>
        </w:r>
        <w:r>
          <w:rPr>
            <w:noProof/>
            <w:webHidden/>
          </w:rPr>
          <w:fldChar w:fldCharType="separate"/>
        </w:r>
        <w:r>
          <w:rPr>
            <w:noProof/>
            <w:webHidden/>
          </w:rPr>
          <w:t>12</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08" w:history="1">
        <w:r w:rsidRPr="00FD5F47">
          <w:rPr>
            <w:rStyle w:val="Hyperlink"/>
            <w:noProof/>
          </w:rPr>
          <w:t>Exports</w:t>
        </w:r>
        <w:r>
          <w:rPr>
            <w:noProof/>
            <w:webHidden/>
          </w:rPr>
          <w:tab/>
        </w:r>
        <w:r>
          <w:rPr>
            <w:noProof/>
            <w:webHidden/>
          </w:rPr>
          <w:fldChar w:fldCharType="begin"/>
        </w:r>
        <w:r>
          <w:rPr>
            <w:noProof/>
            <w:webHidden/>
          </w:rPr>
          <w:instrText xml:space="preserve"> PAGEREF _Toc497137008 \h </w:instrText>
        </w:r>
        <w:r>
          <w:rPr>
            <w:noProof/>
            <w:webHidden/>
          </w:rPr>
        </w:r>
        <w:r>
          <w:rPr>
            <w:noProof/>
            <w:webHidden/>
          </w:rPr>
          <w:fldChar w:fldCharType="separate"/>
        </w:r>
        <w:r>
          <w:rPr>
            <w:noProof/>
            <w:webHidden/>
          </w:rPr>
          <w:t>12</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09" w:history="1">
        <w:r w:rsidRPr="00FD5F47">
          <w:rPr>
            <w:rStyle w:val="Hyperlink"/>
            <w:noProof/>
          </w:rPr>
          <w:t>Treatment of government</w:t>
        </w:r>
        <w:r>
          <w:rPr>
            <w:noProof/>
            <w:webHidden/>
          </w:rPr>
          <w:tab/>
        </w:r>
        <w:r>
          <w:rPr>
            <w:noProof/>
            <w:webHidden/>
          </w:rPr>
          <w:fldChar w:fldCharType="begin"/>
        </w:r>
        <w:r>
          <w:rPr>
            <w:noProof/>
            <w:webHidden/>
          </w:rPr>
          <w:instrText xml:space="preserve"> PAGEREF _Toc497137009 \h </w:instrText>
        </w:r>
        <w:r>
          <w:rPr>
            <w:noProof/>
            <w:webHidden/>
          </w:rPr>
        </w:r>
        <w:r>
          <w:rPr>
            <w:noProof/>
            <w:webHidden/>
          </w:rPr>
          <w:fldChar w:fldCharType="separate"/>
        </w:r>
        <w:r>
          <w:rPr>
            <w:noProof/>
            <w:webHidden/>
          </w:rPr>
          <w:t>13</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10" w:history="1">
        <w:r w:rsidRPr="00FD5F47">
          <w:rPr>
            <w:rStyle w:val="Hyperlink"/>
            <w:noProof/>
          </w:rPr>
          <w:t>Treatment of Financial Services</w:t>
        </w:r>
        <w:r>
          <w:rPr>
            <w:noProof/>
            <w:webHidden/>
          </w:rPr>
          <w:tab/>
        </w:r>
        <w:r>
          <w:rPr>
            <w:noProof/>
            <w:webHidden/>
          </w:rPr>
          <w:fldChar w:fldCharType="begin"/>
        </w:r>
        <w:r>
          <w:rPr>
            <w:noProof/>
            <w:webHidden/>
          </w:rPr>
          <w:instrText xml:space="preserve"> PAGEREF _Toc497137010 \h </w:instrText>
        </w:r>
        <w:r>
          <w:rPr>
            <w:noProof/>
            <w:webHidden/>
          </w:rPr>
        </w:r>
        <w:r>
          <w:rPr>
            <w:noProof/>
            <w:webHidden/>
          </w:rPr>
          <w:fldChar w:fldCharType="separate"/>
        </w:r>
        <w:r>
          <w:rPr>
            <w:noProof/>
            <w:webHidden/>
          </w:rPr>
          <w:t>14</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11" w:history="1">
        <w:r w:rsidRPr="00FD5F47">
          <w:rPr>
            <w:rStyle w:val="Hyperlink"/>
            <w:noProof/>
          </w:rPr>
          <w:t>Constraining to Regional Accounts estimates of GVA</w:t>
        </w:r>
        <w:r>
          <w:rPr>
            <w:noProof/>
            <w:webHidden/>
          </w:rPr>
          <w:tab/>
        </w:r>
        <w:r>
          <w:rPr>
            <w:noProof/>
            <w:webHidden/>
          </w:rPr>
          <w:fldChar w:fldCharType="begin"/>
        </w:r>
        <w:r>
          <w:rPr>
            <w:noProof/>
            <w:webHidden/>
          </w:rPr>
          <w:instrText xml:space="preserve"> PAGEREF _Toc497137011 \h </w:instrText>
        </w:r>
        <w:r>
          <w:rPr>
            <w:noProof/>
            <w:webHidden/>
          </w:rPr>
        </w:r>
        <w:r>
          <w:rPr>
            <w:noProof/>
            <w:webHidden/>
          </w:rPr>
          <w:fldChar w:fldCharType="separate"/>
        </w:r>
        <w:r>
          <w:rPr>
            <w:noProof/>
            <w:webHidden/>
          </w:rPr>
          <w:t>14</w:t>
        </w:r>
        <w:r>
          <w:rPr>
            <w:noProof/>
            <w:webHidden/>
          </w:rPr>
          <w:fldChar w:fldCharType="end"/>
        </w:r>
      </w:hyperlink>
    </w:p>
    <w:p w:rsidR="006221F1" w:rsidRDefault="006221F1" w:rsidP="006221F1">
      <w:pPr>
        <w:pStyle w:val="TOC2"/>
        <w:rPr>
          <w:rFonts w:asciiTheme="minorHAnsi" w:eastAsiaTheme="minorEastAsia" w:hAnsiTheme="minorHAnsi" w:cstheme="minorBidi"/>
          <w:noProof/>
          <w:sz w:val="22"/>
          <w:szCs w:val="22"/>
        </w:rPr>
      </w:pPr>
      <w:hyperlink w:anchor="_Toc497137012" w:history="1">
        <w:r w:rsidRPr="00FD5F47">
          <w:rPr>
            <w:rStyle w:val="Hyperlink"/>
            <w:noProof/>
          </w:rPr>
          <w:t>From Domestic Supply at basic prices to Supply at purchasers’ prices: Compiling the valuation and im</w:t>
        </w:r>
        <w:r w:rsidRPr="00FD5F47">
          <w:rPr>
            <w:rStyle w:val="Hyperlink"/>
            <w:noProof/>
          </w:rPr>
          <w:t>p</w:t>
        </w:r>
        <w:r w:rsidRPr="00FD5F47">
          <w:rPr>
            <w:rStyle w:val="Hyperlink"/>
            <w:noProof/>
          </w:rPr>
          <w:t>orts tables</w:t>
        </w:r>
        <w:r>
          <w:rPr>
            <w:noProof/>
            <w:webHidden/>
          </w:rPr>
          <w:tab/>
        </w:r>
        <w:r>
          <w:rPr>
            <w:noProof/>
            <w:webHidden/>
          </w:rPr>
          <w:fldChar w:fldCharType="begin"/>
        </w:r>
        <w:r>
          <w:rPr>
            <w:noProof/>
            <w:webHidden/>
          </w:rPr>
          <w:instrText xml:space="preserve"> PAGEREF _Toc497137012 \h </w:instrText>
        </w:r>
        <w:r>
          <w:rPr>
            <w:noProof/>
            <w:webHidden/>
          </w:rPr>
        </w:r>
        <w:r>
          <w:rPr>
            <w:noProof/>
            <w:webHidden/>
          </w:rPr>
          <w:fldChar w:fldCharType="separate"/>
        </w:r>
        <w:r>
          <w:rPr>
            <w:noProof/>
            <w:webHidden/>
          </w:rPr>
          <w:t>16</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13" w:history="1">
        <w:r w:rsidRPr="00FD5F47">
          <w:rPr>
            <w:rStyle w:val="Hyperlink"/>
            <w:noProof/>
          </w:rPr>
          <w:t>Distributors’ trading margins</w:t>
        </w:r>
        <w:r>
          <w:rPr>
            <w:noProof/>
            <w:webHidden/>
          </w:rPr>
          <w:tab/>
        </w:r>
        <w:r>
          <w:rPr>
            <w:noProof/>
            <w:webHidden/>
          </w:rPr>
          <w:fldChar w:fldCharType="begin"/>
        </w:r>
        <w:r>
          <w:rPr>
            <w:noProof/>
            <w:webHidden/>
          </w:rPr>
          <w:instrText xml:space="preserve"> PAGEREF _Toc497137013 \h </w:instrText>
        </w:r>
        <w:r>
          <w:rPr>
            <w:noProof/>
            <w:webHidden/>
          </w:rPr>
        </w:r>
        <w:r>
          <w:rPr>
            <w:noProof/>
            <w:webHidden/>
          </w:rPr>
          <w:fldChar w:fldCharType="separate"/>
        </w:r>
        <w:r>
          <w:rPr>
            <w:noProof/>
            <w:webHidden/>
          </w:rPr>
          <w:t>16</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14" w:history="1">
        <w:r w:rsidRPr="00FD5F47">
          <w:rPr>
            <w:rStyle w:val="Hyperlink"/>
            <w:noProof/>
          </w:rPr>
          <w:t>Taxes on products</w:t>
        </w:r>
        <w:r>
          <w:rPr>
            <w:noProof/>
            <w:webHidden/>
          </w:rPr>
          <w:tab/>
        </w:r>
        <w:r>
          <w:rPr>
            <w:noProof/>
            <w:webHidden/>
          </w:rPr>
          <w:fldChar w:fldCharType="begin"/>
        </w:r>
        <w:r>
          <w:rPr>
            <w:noProof/>
            <w:webHidden/>
          </w:rPr>
          <w:instrText xml:space="preserve"> PAGEREF _Toc497137014 \h </w:instrText>
        </w:r>
        <w:r>
          <w:rPr>
            <w:noProof/>
            <w:webHidden/>
          </w:rPr>
        </w:r>
        <w:r>
          <w:rPr>
            <w:noProof/>
            <w:webHidden/>
          </w:rPr>
          <w:fldChar w:fldCharType="separate"/>
        </w:r>
        <w:r>
          <w:rPr>
            <w:noProof/>
            <w:webHidden/>
          </w:rPr>
          <w:t>17</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15" w:history="1">
        <w:r w:rsidRPr="00FD5F47">
          <w:rPr>
            <w:rStyle w:val="Hyperlink"/>
            <w:noProof/>
          </w:rPr>
          <w:t>VAT</w:t>
        </w:r>
        <w:r>
          <w:rPr>
            <w:noProof/>
            <w:webHidden/>
          </w:rPr>
          <w:tab/>
        </w:r>
        <w:r>
          <w:rPr>
            <w:noProof/>
            <w:webHidden/>
          </w:rPr>
          <w:fldChar w:fldCharType="begin"/>
        </w:r>
        <w:r>
          <w:rPr>
            <w:noProof/>
            <w:webHidden/>
          </w:rPr>
          <w:instrText xml:space="preserve"> PAGEREF _Toc497137015 \h </w:instrText>
        </w:r>
        <w:r>
          <w:rPr>
            <w:noProof/>
            <w:webHidden/>
          </w:rPr>
        </w:r>
        <w:r>
          <w:rPr>
            <w:noProof/>
            <w:webHidden/>
          </w:rPr>
          <w:fldChar w:fldCharType="separate"/>
        </w:r>
        <w:r>
          <w:rPr>
            <w:noProof/>
            <w:webHidden/>
          </w:rPr>
          <w:t>17</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16" w:history="1">
        <w:r w:rsidRPr="00FD5F47">
          <w:rPr>
            <w:rStyle w:val="Hyperlink"/>
            <w:noProof/>
          </w:rPr>
          <w:t>Other taxes on products</w:t>
        </w:r>
        <w:r>
          <w:rPr>
            <w:noProof/>
            <w:webHidden/>
          </w:rPr>
          <w:tab/>
        </w:r>
        <w:r>
          <w:rPr>
            <w:noProof/>
            <w:webHidden/>
          </w:rPr>
          <w:fldChar w:fldCharType="begin"/>
        </w:r>
        <w:r>
          <w:rPr>
            <w:noProof/>
            <w:webHidden/>
          </w:rPr>
          <w:instrText xml:space="preserve"> PAGEREF _Toc497137016 \h </w:instrText>
        </w:r>
        <w:r>
          <w:rPr>
            <w:noProof/>
            <w:webHidden/>
          </w:rPr>
        </w:r>
        <w:r>
          <w:rPr>
            <w:noProof/>
            <w:webHidden/>
          </w:rPr>
          <w:fldChar w:fldCharType="separate"/>
        </w:r>
        <w:r>
          <w:rPr>
            <w:noProof/>
            <w:webHidden/>
          </w:rPr>
          <w:t>17</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17" w:history="1">
        <w:r w:rsidRPr="00FD5F47">
          <w:rPr>
            <w:rStyle w:val="Hyperlink"/>
            <w:noProof/>
          </w:rPr>
          <w:t>Subsidies on products</w:t>
        </w:r>
        <w:r>
          <w:rPr>
            <w:noProof/>
            <w:webHidden/>
          </w:rPr>
          <w:tab/>
        </w:r>
        <w:r>
          <w:rPr>
            <w:noProof/>
            <w:webHidden/>
          </w:rPr>
          <w:fldChar w:fldCharType="begin"/>
        </w:r>
        <w:r>
          <w:rPr>
            <w:noProof/>
            <w:webHidden/>
          </w:rPr>
          <w:instrText xml:space="preserve"> PAGEREF _Toc497137017 \h </w:instrText>
        </w:r>
        <w:r>
          <w:rPr>
            <w:noProof/>
            <w:webHidden/>
          </w:rPr>
        </w:r>
        <w:r>
          <w:rPr>
            <w:noProof/>
            <w:webHidden/>
          </w:rPr>
          <w:fldChar w:fldCharType="separate"/>
        </w:r>
        <w:r>
          <w:rPr>
            <w:noProof/>
            <w:webHidden/>
          </w:rPr>
          <w:t>18</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18" w:history="1">
        <w:r w:rsidRPr="00FD5F47">
          <w:rPr>
            <w:rStyle w:val="Hyperlink"/>
            <w:noProof/>
          </w:rPr>
          <w:t>Imports and taxes on imports</w:t>
        </w:r>
        <w:r>
          <w:rPr>
            <w:noProof/>
            <w:webHidden/>
          </w:rPr>
          <w:tab/>
        </w:r>
        <w:r>
          <w:rPr>
            <w:noProof/>
            <w:webHidden/>
          </w:rPr>
          <w:fldChar w:fldCharType="begin"/>
        </w:r>
        <w:r>
          <w:rPr>
            <w:noProof/>
            <w:webHidden/>
          </w:rPr>
          <w:instrText xml:space="preserve"> PAGEREF _Toc497137018 \h </w:instrText>
        </w:r>
        <w:r>
          <w:rPr>
            <w:noProof/>
            <w:webHidden/>
          </w:rPr>
        </w:r>
        <w:r>
          <w:rPr>
            <w:noProof/>
            <w:webHidden/>
          </w:rPr>
          <w:fldChar w:fldCharType="separate"/>
        </w:r>
        <w:r>
          <w:rPr>
            <w:noProof/>
            <w:webHidden/>
          </w:rPr>
          <w:t>18</w:t>
        </w:r>
        <w:r>
          <w:rPr>
            <w:noProof/>
            <w:webHidden/>
          </w:rPr>
          <w:fldChar w:fldCharType="end"/>
        </w:r>
      </w:hyperlink>
    </w:p>
    <w:p w:rsidR="006221F1" w:rsidRDefault="006221F1" w:rsidP="006221F1">
      <w:pPr>
        <w:pStyle w:val="TOC2"/>
        <w:rPr>
          <w:rFonts w:asciiTheme="minorHAnsi" w:eastAsiaTheme="minorEastAsia" w:hAnsiTheme="minorHAnsi" w:cstheme="minorBidi"/>
          <w:noProof/>
          <w:sz w:val="22"/>
          <w:szCs w:val="22"/>
        </w:rPr>
      </w:pPr>
      <w:hyperlink w:anchor="_Toc497137019" w:history="1">
        <w:r w:rsidRPr="00FD5F47">
          <w:rPr>
            <w:rStyle w:val="Hyperlink"/>
            <w:noProof/>
          </w:rPr>
          <w:t>Balancing the tables</w:t>
        </w:r>
        <w:r>
          <w:rPr>
            <w:noProof/>
            <w:webHidden/>
          </w:rPr>
          <w:tab/>
        </w:r>
        <w:r>
          <w:rPr>
            <w:noProof/>
            <w:webHidden/>
          </w:rPr>
          <w:fldChar w:fldCharType="begin"/>
        </w:r>
        <w:r>
          <w:rPr>
            <w:noProof/>
            <w:webHidden/>
          </w:rPr>
          <w:instrText xml:space="preserve"> PAGEREF _Toc497137019 \h </w:instrText>
        </w:r>
        <w:r>
          <w:rPr>
            <w:noProof/>
            <w:webHidden/>
          </w:rPr>
        </w:r>
        <w:r>
          <w:rPr>
            <w:noProof/>
            <w:webHidden/>
          </w:rPr>
          <w:fldChar w:fldCharType="separate"/>
        </w:r>
        <w:r>
          <w:rPr>
            <w:noProof/>
            <w:webHidden/>
          </w:rPr>
          <w:t>19</w:t>
        </w:r>
        <w:r>
          <w:rPr>
            <w:noProof/>
            <w:webHidden/>
          </w:rPr>
          <w:fldChar w:fldCharType="end"/>
        </w:r>
      </w:hyperlink>
    </w:p>
    <w:p w:rsidR="006221F1" w:rsidRDefault="006221F1" w:rsidP="006221F1">
      <w:pPr>
        <w:pStyle w:val="TOC1"/>
        <w:rPr>
          <w:rFonts w:asciiTheme="minorHAnsi" w:eastAsiaTheme="minorEastAsia" w:hAnsiTheme="minorHAnsi" w:cstheme="minorBidi"/>
          <w:noProof/>
          <w:sz w:val="22"/>
          <w:szCs w:val="22"/>
        </w:rPr>
      </w:pPr>
      <w:hyperlink w:anchor="_Toc497137020" w:history="1">
        <w:r w:rsidRPr="00FD5F47">
          <w:rPr>
            <w:rStyle w:val="Hyperlink"/>
            <w:noProof/>
          </w:rPr>
          <w:t>The Analytical I-O Tables</w:t>
        </w:r>
        <w:r>
          <w:rPr>
            <w:noProof/>
            <w:webHidden/>
          </w:rPr>
          <w:tab/>
        </w:r>
        <w:r>
          <w:rPr>
            <w:noProof/>
            <w:webHidden/>
          </w:rPr>
          <w:fldChar w:fldCharType="begin"/>
        </w:r>
        <w:r>
          <w:rPr>
            <w:noProof/>
            <w:webHidden/>
          </w:rPr>
          <w:instrText xml:space="preserve"> PAGEREF _Toc497137020 \h </w:instrText>
        </w:r>
        <w:r>
          <w:rPr>
            <w:noProof/>
            <w:webHidden/>
          </w:rPr>
        </w:r>
        <w:r>
          <w:rPr>
            <w:noProof/>
            <w:webHidden/>
          </w:rPr>
          <w:fldChar w:fldCharType="separate"/>
        </w:r>
        <w:r>
          <w:rPr>
            <w:noProof/>
            <w:webHidden/>
          </w:rPr>
          <w:t>20</w:t>
        </w:r>
        <w:r>
          <w:rPr>
            <w:noProof/>
            <w:webHidden/>
          </w:rPr>
          <w:fldChar w:fldCharType="end"/>
        </w:r>
      </w:hyperlink>
    </w:p>
    <w:p w:rsidR="006221F1" w:rsidRDefault="006221F1" w:rsidP="006221F1">
      <w:pPr>
        <w:pStyle w:val="TOC2"/>
        <w:rPr>
          <w:rFonts w:asciiTheme="minorHAnsi" w:eastAsiaTheme="minorEastAsia" w:hAnsiTheme="minorHAnsi" w:cstheme="minorBidi"/>
          <w:noProof/>
          <w:sz w:val="22"/>
          <w:szCs w:val="22"/>
        </w:rPr>
      </w:pPr>
      <w:hyperlink w:anchor="_Toc497137021" w:history="1">
        <w:r w:rsidRPr="00FD5F47">
          <w:rPr>
            <w:rStyle w:val="Hyperlink"/>
            <w:noProof/>
          </w:rPr>
          <w:t>What are the analytical tables?</w:t>
        </w:r>
        <w:r>
          <w:rPr>
            <w:noProof/>
            <w:webHidden/>
          </w:rPr>
          <w:tab/>
        </w:r>
        <w:r>
          <w:rPr>
            <w:noProof/>
            <w:webHidden/>
          </w:rPr>
          <w:fldChar w:fldCharType="begin"/>
        </w:r>
        <w:r>
          <w:rPr>
            <w:noProof/>
            <w:webHidden/>
          </w:rPr>
          <w:instrText xml:space="preserve"> PAGEREF _Toc497137021 \h </w:instrText>
        </w:r>
        <w:r>
          <w:rPr>
            <w:noProof/>
            <w:webHidden/>
          </w:rPr>
        </w:r>
        <w:r>
          <w:rPr>
            <w:noProof/>
            <w:webHidden/>
          </w:rPr>
          <w:fldChar w:fldCharType="separate"/>
        </w:r>
        <w:r>
          <w:rPr>
            <w:noProof/>
            <w:webHidden/>
          </w:rPr>
          <w:t>20</w:t>
        </w:r>
        <w:r>
          <w:rPr>
            <w:noProof/>
            <w:webHidden/>
          </w:rPr>
          <w:fldChar w:fldCharType="end"/>
        </w:r>
      </w:hyperlink>
    </w:p>
    <w:p w:rsidR="006221F1" w:rsidRDefault="006221F1" w:rsidP="006221F1">
      <w:pPr>
        <w:pStyle w:val="TOC2"/>
        <w:rPr>
          <w:rFonts w:asciiTheme="minorHAnsi" w:eastAsiaTheme="minorEastAsia" w:hAnsiTheme="minorHAnsi" w:cstheme="minorBidi"/>
          <w:noProof/>
          <w:sz w:val="22"/>
          <w:szCs w:val="22"/>
        </w:rPr>
      </w:pPr>
      <w:hyperlink w:anchor="_Toc497137022" w:history="1">
        <w:r w:rsidRPr="00FD5F47">
          <w:rPr>
            <w:rStyle w:val="Hyperlink"/>
            <w:noProof/>
          </w:rPr>
          <w:t>Derivation of Industry by Industry analytical tables</w:t>
        </w:r>
        <w:r>
          <w:rPr>
            <w:noProof/>
            <w:webHidden/>
          </w:rPr>
          <w:tab/>
        </w:r>
        <w:r>
          <w:rPr>
            <w:noProof/>
            <w:webHidden/>
          </w:rPr>
          <w:fldChar w:fldCharType="begin"/>
        </w:r>
        <w:r>
          <w:rPr>
            <w:noProof/>
            <w:webHidden/>
          </w:rPr>
          <w:instrText xml:space="preserve"> PAGEREF _Toc497137022 \h </w:instrText>
        </w:r>
        <w:r>
          <w:rPr>
            <w:noProof/>
            <w:webHidden/>
          </w:rPr>
        </w:r>
        <w:r>
          <w:rPr>
            <w:noProof/>
            <w:webHidden/>
          </w:rPr>
          <w:fldChar w:fldCharType="separate"/>
        </w:r>
        <w:r>
          <w:rPr>
            <w:noProof/>
            <w:webHidden/>
          </w:rPr>
          <w:t>20</w:t>
        </w:r>
        <w:r>
          <w:rPr>
            <w:noProof/>
            <w:webHidden/>
          </w:rPr>
          <w:fldChar w:fldCharType="end"/>
        </w:r>
      </w:hyperlink>
    </w:p>
    <w:p w:rsidR="006221F1" w:rsidRDefault="006221F1" w:rsidP="006221F1">
      <w:pPr>
        <w:pStyle w:val="TOC2"/>
        <w:rPr>
          <w:rFonts w:asciiTheme="minorHAnsi" w:eastAsiaTheme="minorEastAsia" w:hAnsiTheme="minorHAnsi" w:cstheme="minorBidi"/>
          <w:noProof/>
          <w:sz w:val="22"/>
          <w:szCs w:val="22"/>
        </w:rPr>
      </w:pPr>
      <w:hyperlink w:anchor="_Toc497137023" w:history="1">
        <w:r w:rsidRPr="00FD5F47">
          <w:rPr>
            <w:rStyle w:val="Hyperlink"/>
            <w:noProof/>
          </w:rPr>
          <w:t>Derivation of Product by Product analytical tables</w:t>
        </w:r>
        <w:r>
          <w:rPr>
            <w:noProof/>
            <w:webHidden/>
          </w:rPr>
          <w:tab/>
        </w:r>
        <w:r>
          <w:rPr>
            <w:noProof/>
            <w:webHidden/>
          </w:rPr>
          <w:fldChar w:fldCharType="begin"/>
        </w:r>
        <w:r>
          <w:rPr>
            <w:noProof/>
            <w:webHidden/>
          </w:rPr>
          <w:instrText xml:space="preserve"> PAGEREF _Toc497137023 \h </w:instrText>
        </w:r>
        <w:r>
          <w:rPr>
            <w:noProof/>
            <w:webHidden/>
          </w:rPr>
        </w:r>
        <w:r>
          <w:rPr>
            <w:noProof/>
            <w:webHidden/>
          </w:rPr>
          <w:fldChar w:fldCharType="separate"/>
        </w:r>
        <w:r>
          <w:rPr>
            <w:noProof/>
            <w:webHidden/>
          </w:rPr>
          <w:t>21</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24" w:history="1">
        <w:r w:rsidRPr="00FD5F47">
          <w:rPr>
            <w:rStyle w:val="Hyperlink"/>
            <w:noProof/>
          </w:rPr>
          <w:t>The Industry Technology Assumption</w:t>
        </w:r>
        <w:r>
          <w:rPr>
            <w:noProof/>
            <w:webHidden/>
          </w:rPr>
          <w:tab/>
        </w:r>
        <w:r>
          <w:rPr>
            <w:noProof/>
            <w:webHidden/>
          </w:rPr>
          <w:fldChar w:fldCharType="begin"/>
        </w:r>
        <w:r>
          <w:rPr>
            <w:noProof/>
            <w:webHidden/>
          </w:rPr>
          <w:instrText xml:space="preserve"> PAGEREF _Toc497137024 \h </w:instrText>
        </w:r>
        <w:r>
          <w:rPr>
            <w:noProof/>
            <w:webHidden/>
          </w:rPr>
        </w:r>
        <w:r>
          <w:rPr>
            <w:noProof/>
            <w:webHidden/>
          </w:rPr>
          <w:fldChar w:fldCharType="separate"/>
        </w:r>
        <w:r>
          <w:rPr>
            <w:noProof/>
            <w:webHidden/>
          </w:rPr>
          <w:t>21</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25" w:history="1">
        <w:r w:rsidRPr="00FD5F47">
          <w:rPr>
            <w:rStyle w:val="Hyperlink"/>
            <w:noProof/>
          </w:rPr>
          <w:t>The Product Technology Assumption</w:t>
        </w:r>
        <w:r>
          <w:rPr>
            <w:noProof/>
            <w:webHidden/>
          </w:rPr>
          <w:tab/>
        </w:r>
        <w:r>
          <w:rPr>
            <w:noProof/>
            <w:webHidden/>
          </w:rPr>
          <w:fldChar w:fldCharType="begin"/>
        </w:r>
        <w:r>
          <w:rPr>
            <w:noProof/>
            <w:webHidden/>
          </w:rPr>
          <w:instrText xml:space="preserve"> PAGEREF _Toc497137025 \h </w:instrText>
        </w:r>
        <w:r>
          <w:rPr>
            <w:noProof/>
            <w:webHidden/>
          </w:rPr>
        </w:r>
        <w:r>
          <w:rPr>
            <w:noProof/>
            <w:webHidden/>
          </w:rPr>
          <w:fldChar w:fldCharType="separate"/>
        </w:r>
        <w:r>
          <w:rPr>
            <w:noProof/>
            <w:webHidden/>
          </w:rPr>
          <w:t>22</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26" w:history="1">
        <w:r w:rsidRPr="00FD5F47">
          <w:rPr>
            <w:rStyle w:val="Hyperlink"/>
            <w:noProof/>
          </w:rPr>
          <w:t>Hybrid technology assumptions</w:t>
        </w:r>
        <w:r>
          <w:rPr>
            <w:noProof/>
            <w:webHidden/>
          </w:rPr>
          <w:tab/>
        </w:r>
        <w:r>
          <w:rPr>
            <w:noProof/>
            <w:webHidden/>
          </w:rPr>
          <w:fldChar w:fldCharType="begin"/>
        </w:r>
        <w:r>
          <w:rPr>
            <w:noProof/>
            <w:webHidden/>
          </w:rPr>
          <w:instrText xml:space="preserve"> PAGEREF _Toc497137026 \h </w:instrText>
        </w:r>
        <w:r>
          <w:rPr>
            <w:noProof/>
            <w:webHidden/>
          </w:rPr>
        </w:r>
        <w:r>
          <w:rPr>
            <w:noProof/>
            <w:webHidden/>
          </w:rPr>
          <w:fldChar w:fldCharType="separate"/>
        </w:r>
        <w:r>
          <w:rPr>
            <w:noProof/>
            <w:webHidden/>
          </w:rPr>
          <w:t>22</w:t>
        </w:r>
        <w:r>
          <w:rPr>
            <w:noProof/>
            <w:webHidden/>
          </w:rPr>
          <w:fldChar w:fldCharType="end"/>
        </w:r>
      </w:hyperlink>
    </w:p>
    <w:p w:rsidR="006221F1" w:rsidRDefault="006221F1" w:rsidP="006221F1">
      <w:pPr>
        <w:pStyle w:val="TOC2"/>
        <w:rPr>
          <w:rFonts w:asciiTheme="minorHAnsi" w:eastAsiaTheme="minorEastAsia" w:hAnsiTheme="minorHAnsi" w:cstheme="minorBidi"/>
          <w:noProof/>
          <w:sz w:val="22"/>
          <w:szCs w:val="22"/>
        </w:rPr>
      </w:pPr>
      <w:hyperlink w:anchor="_Toc497137027" w:history="1">
        <w:r w:rsidRPr="00FD5F47">
          <w:rPr>
            <w:rStyle w:val="Hyperlink"/>
            <w:noProof/>
          </w:rPr>
          <w:t>Derivation of Leontief inverse matrices (type I and type II)</w:t>
        </w:r>
        <w:r>
          <w:rPr>
            <w:noProof/>
            <w:webHidden/>
          </w:rPr>
          <w:tab/>
        </w:r>
        <w:r>
          <w:rPr>
            <w:noProof/>
            <w:webHidden/>
          </w:rPr>
          <w:fldChar w:fldCharType="begin"/>
        </w:r>
        <w:r>
          <w:rPr>
            <w:noProof/>
            <w:webHidden/>
          </w:rPr>
          <w:instrText xml:space="preserve"> PAGEREF _Toc497137027 \h </w:instrText>
        </w:r>
        <w:r>
          <w:rPr>
            <w:noProof/>
            <w:webHidden/>
          </w:rPr>
        </w:r>
        <w:r>
          <w:rPr>
            <w:noProof/>
            <w:webHidden/>
          </w:rPr>
          <w:fldChar w:fldCharType="separate"/>
        </w:r>
        <w:r>
          <w:rPr>
            <w:noProof/>
            <w:webHidden/>
          </w:rPr>
          <w:t>24</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28" w:history="1">
        <w:r w:rsidRPr="00FD5F47">
          <w:rPr>
            <w:rStyle w:val="Hyperlink"/>
            <w:noProof/>
          </w:rPr>
          <w:t>Leontief type I</w:t>
        </w:r>
        <w:r>
          <w:rPr>
            <w:noProof/>
            <w:webHidden/>
          </w:rPr>
          <w:tab/>
        </w:r>
        <w:r>
          <w:rPr>
            <w:noProof/>
            <w:webHidden/>
          </w:rPr>
          <w:fldChar w:fldCharType="begin"/>
        </w:r>
        <w:r>
          <w:rPr>
            <w:noProof/>
            <w:webHidden/>
          </w:rPr>
          <w:instrText xml:space="preserve"> PAGEREF _Toc497137028 \h </w:instrText>
        </w:r>
        <w:r>
          <w:rPr>
            <w:noProof/>
            <w:webHidden/>
          </w:rPr>
        </w:r>
        <w:r>
          <w:rPr>
            <w:noProof/>
            <w:webHidden/>
          </w:rPr>
          <w:fldChar w:fldCharType="separate"/>
        </w:r>
        <w:r>
          <w:rPr>
            <w:noProof/>
            <w:webHidden/>
          </w:rPr>
          <w:t>24</w:t>
        </w:r>
        <w:r>
          <w:rPr>
            <w:noProof/>
            <w:webHidden/>
          </w:rPr>
          <w:fldChar w:fldCharType="end"/>
        </w:r>
      </w:hyperlink>
    </w:p>
    <w:p w:rsidR="006221F1" w:rsidRDefault="006221F1" w:rsidP="006221F1">
      <w:pPr>
        <w:pStyle w:val="TOC3"/>
        <w:rPr>
          <w:rFonts w:asciiTheme="minorHAnsi" w:eastAsiaTheme="minorEastAsia" w:hAnsiTheme="minorHAnsi" w:cstheme="minorBidi"/>
          <w:noProof/>
          <w:sz w:val="22"/>
          <w:szCs w:val="22"/>
        </w:rPr>
      </w:pPr>
      <w:hyperlink w:anchor="_Toc497137029" w:history="1">
        <w:r w:rsidRPr="00FD5F47">
          <w:rPr>
            <w:rStyle w:val="Hyperlink"/>
            <w:noProof/>
          </w:rPr>
          <w:t>Leontief type II</w:t>
        </w:r>
        <w:r>
          <w:rPr>
            <w:noProof/>
            <w:webHidden/>
          </w:rPr>
          <w:tab/>
        </w:r>
        <w:r>
          <w:rPr>
            <w:noProof/>
            <w:webHidden/>
          </w:rPr>
          <w:fldChar w:fldCharType="begin"/>
        </w:r>
        <w:r>
          <w:rPr>
            <w:noProof/>
            <w:webHidden/>
          </w:rPr>
          <w:instrText xml:space="preserve"> PAGEREF _Toc497137029 \h </w:instrText>
        </w:r>
        <w:r>
          <w:rPr>
            <w:noProof/>
            <w:webHidden/>
          </w:rPr>
        </w:r>
        <w:r>
          <w:rPr>
            <w:noProof/>
            <w:webHidden/>
          </w:rPr>
          <w:fldChar w:fldCharType="separate"/>
        </w:r>
        <w:r>
          <w:rPr>
            <w:noProof/>
            <w:webHidden/>
          </w:rPr>
          <w:t>26</w:t>
        </w:r>
        <w:r>
          <w:rPr>
            <w:noProof/>
            <w:webHidden/>
          </w:rPr>
          <w:fldChar w:fldCharType="end"/>
        </w:r>
      </w:hyperlink>
    </w:p>
    <w:p w:rsidR="006221F1" w:rsidRDefault="006221F1" w:rsidP="006221F1">
      <w:pPr>
        <w:pStyle w:val="TOC2"/>
        <w:rPr>
          <w:rFonts w:asciiTheme="minorHAnsi" w:eastAsiaTheme="minorEastAsia" w:hAnsiTheme="minorHAnsi" w:cstheme="minorBidi"/>
          <w:noProof/>
          <w:sz w:val="22"/>
          <w:szCs w:val="22"/>
        </w:rPr>
      </w:pPr>
      <w:hyperlink w:anchor="_Toc497137030" w:history="1">
        <w:r w:rsidRPr="00FD5F47">
          <w:rPr>
            <w:rStyle w:val="Hyperlink"/>
            <w:noProof/>
          </w:rPr>
          <w:t>Derivation of multipliers and effects</w:t>
        </w:r>
        <w:r>
          <w:rPr>
            <w:noProof/>
            <w:webHidden/>
          </w:rPr>
          <w:tab/>
        </w:r>
        <w:r>
          <w:rPr>
            <w:noProof/>
            <w:webHidden/>
          </w:rPr>
          <w:fldChar w:fldCharType="begin"/>
        </w:r>
        <w:r>
          <w:rPr>
            <w:noProof/>
            <w:webHidden/>
          </w:rPr>
          <w:instrText xml:space="preserve"> PAGEREF _Toc497137030 \h </w:instrText>
        </w:r>
        <w:r>
          <w:rPr>
            <w:noProof/>
            <w:webHidden/>
          </w:rPr>
        </w:r>
        <w:r>
          <w:rPr>
            <w:noProof/>
            <w:webHidden/>
          </w:rPr>
          <w:fldChar w:fldCharType="separate"/>
        </w:r>
        <w:r>
          <w:rPr>
            <w:noProof/>
            <w:webHidden/>
          </w:rPr>
          <w:t>28</w:t>
        </w:r>
        <w:r>
          <w:rPr>
            <w:noProof/>
            <w:webHidden/>
          </w:rPr>
          <w:fldChar w:fldCharType="end"/>
        </w:r>
      </w:hyperlink>
    </w:p>
    <w:p w:rsidR="006221F1" w:rsidRDefault="006221F1" w:rsidP="006221F1">
      <w:pPr>
        <w:pStyle w:val="TOC2"/>
        <w:rPr>
          <w:rFonts w:asciiTheme="minorHAnsi" w:eastAsiaTheme="minorEastAsia" w:hAnsiTheme="minorHAnsi" w:cstheme="minorBidi"/>
          <w:noProof/>
          <w:sz w:val="22"/>
          <w:szCs w:val="22"/>
        </w:rPr>
      </w:pPr>
      <w:hyperlink w:anchor="_Toc497137031" w:history="1">
        <w:r w:rsidRPr="00FD5F47">
          <w:rPr>
            <w:rStyle w:val="Hyperlink"/>
            <w:noProof/>
          </w:rPr>
          <w:t>Consistency testing the Leontief tables and multipliers</w:t>
        </w:r>
        <w:r>
          <w:rPr>
            <w:noProof/>
            <w:webHidden/>
          </w:rPr>
          <w:tab/>
        </w:r>
        <w:r>
          <w:rPr>
            <w:noProof/>
            <w:webHidden/>
          </w:rPr>
          <w:fldChar w:fldCharType="begin"/>
        </w:r>
        <w:r>
          <w:rPr>
            <w:noProof/>
            <w:webHidden/>
          </w:rPr>
          <w:instrText xml:space="preserve"> PAGEREF _Toc497137031 \h </w:instrText>
        </w:r>
        <w:r>
          <w:rPr>
            <w:noProof/>
            <w:webHidden/>
          </w:rPr>
        </w:r>
        <w:r>
          <w:rPr>
            <w:noProof/>
            <w:webHidden/>
          </w:rPr>
          <w:fldChar w:fldCharType="separate"/>
        </w:r>
        <w:r>
          <w:rPr>
            <w:noProof/>
            <w:webHidden/>
          </w:rPr>
          <w:t>29</w:t>
        </w:r>
        <w:r>
          <w:rPr>
            <w:noProof/>
            <w:webHidden/>
          </w:rPr>
          <w:fldChar w:fldCharType="end"/>
        </w:r>
      </w:hyperlink>
    </w:p>
    <w:p w:rsidR="006221F1" w:rsidRDefault="006221F1" w:rsidP="006221F1">
      <w:pPr>
        <w:pStyle w:val="TOC1"/>
        <w:rPr>
          <w:rFonts w:asciiTheme="minorHAnsi" w:eastAsiaTheme="minorEastAsia" w:hAnsiTheme="minorHAnsi" w:cstheme="minorBidi"/>
          <w:noProof/>
          <w:sz w:val="22"/>
          <w:szCs w:val="22"/>
        </w:rPr>
      </w:pPr>
      <w:hyperlink w:anchor="_Toc497137032" w:history="1">
        <w:r w:rsidRPr="00FD5F47">
          <w:rPr>
            <w:rStyle w:val="Hyperlink"/>
            <w:noProof/>
          </w:rPr>
          <w:t>Annex A: Industry data sources</w:t>
        </w:r>
        <w:r>
          <w:rPr>
            <w:noProof/>
            <w:webHidden/>
          </w:rPr>
          <w:tab/>
        </w:r>
        <w:r>
          <w:rPr>
            <w:noProof/>
            <w:webHidden/>
          </w:rPr>
          <w:fldChar w:fldCharType="begin"/>
        </w:r>
        <w:r>
          <w:rPr>
            <w:noProof/>
            <w:webHidden/>
          </w:rPr>
          <w:instrText xml:space="preserve"> PAGEREF _Toc497137032 \h </w:instrText>
        </w:r>
        <w:r>
          <w:rPr>
            <w:noProof/>
            <w:webHidden/>
          </w:rPr>
        </w:r>
        <w:r>
          <w:rPr>
            <w:noProof/>
            <w:webHidden/>
          </w:rPr>
          <w:fldChar w:fldCharType="separate"/>
        </w:r>
        <w:r>
          <w:rPr>
            <w:noProof/>
            <w:webHidden/>
          </w:rPr>
          <w:t>30</w:t>
        </w:r>
        <w:r>
          <w:rPr>
            <w:noProof/>
            <w:webHidden/>
          </w:rPr>
          <w:fldChar w:fldCharType="end"/>
        </w:r>
      </w:hyperlink>
    </w:p>
    <w:p w:rsidR="00AE2BEB" w:rsidRDefault="006221F1" w:rsidP="006221F1">
      <w:pPr>
        <w:pStyle w:val="TOC1"/>
      </w:pPr>
      <w:hyperlink w:anchor="_Toc497137033" w:history="1">
        <w:r w:rsidRPr="00FD5F47">
          <w:rPr>
            <w:rStyle w:val="Hyperlink"/>
            <w:noProof/>
          </w:rPr>
          <w:t>Annex B: Input-Output Categories</w:t>
        </w:r>
        <w:r>
          <w:rPr>
            <w:noProof/>
            <w:webHidden/>
          </w:rPr>
          <w:tab/>
        </w:r>
        <w:r>
          <w:rPr>
            <w:noProof/>
            <w:webHidden/>
          </w:rPr>
          <w:fldChar w:fldCharType="begin"/>
        </w:r>
        <w:r>
          <w:rPr>
            <w:noProof/>
            <w:webHidden/>
          </w:rPr>
          <w:instrText xml:space="preserve"> PAGEREF _Toc497137033 \h </w:instrText>
        </w:r>
        <w:r>
          <w:rPr>
            <w:noProof/>
            <w:webHidden/>
          </w:rPr>
        </w:r>
        <w:r>
          <w:rPr>
            <w:noProof/>
            <w:webHidden/>
          </w:rPr>
          <w:fldChar w:fldCharType="separate"/>
        </w:r>
        <w:r>
          <w:rPr>
            <w:noProof/>
            <w:webHidden/>
          </w:rPr>
          <w:t>31</w:t>
        </w:r>
        <w:r>
          <w:rPr>
            <w:noProof/>
            <w:webHidden/>
          </w:rPr>
          <w:fldChar w:fldCharType="end"/>
        </w:r>
      </w:hyperlink>
      <w:r w:rsidR="00A660F9">
        <w:fldChar w:fldCharType="end"/>
      </w:r>
      <w:bookmarkStart w:id="30" w:name="_GoBack"/>
      <w:bookmarkEnd w:id="30"/>
    </w:p>
    <w:p w:rsidR="00A660F9" w:rsidRPr="000158CD" w:rsidRDefault="00A660F9" w:rsidP="000158CD">
      <w:pPr>
        <w:sectPr w:rsidR="00A660F9" w:rsidRPr="000158CD" w:rsidSect="000158CD">
          <w:pgSz w:w="11906" w:h="16838" w:code="9"/>
          <w:pgMar w:top="1440" w:right="1440" w:bottom="1440" w:left="1440" w:header="720" w:footer="720" w:gutter="0"/>
          <w:cols w:space="708"/>
          <w:titlePg/>
          <w:docGrid w:linePitch="360"/>
        </w:sectPr>
      </w:pPr>
    </w:p>
    <w:p w:rsidR="00C91E49" w:rsidRPr="0047044B" w:rsidRDefault="00C91E49" w:rsidP="00AE2BEB">
      <w:pPr>
        <w:pStyle w:val="Heading1"/>
      </w:pPr>
      <w:bookmarkStart w:id="31" w:name="_Toc290646624"/>
      <w:bookmarkStart w:id="32" w:name="_Toc290647154"/>
      <w:bookmarkStart w:id="33" w:name="_Toc290647201"/>
      <w:bookmarkStart w:id="34" w:name="_Toc292468934"/>
      <w:bookmarkStart w:id="35" w:name="_Toc497136989"/>
      <w:r w:rsidRPr="0047044B">
        <w:lastRenderedPageBreak/>
        <w:t xml:space="preserve">An Overview of the </w:t>
      </w:r>
      <w:r w:rsidR="00A91420" w:rsidRPr="0047044B">
        <w:t>Supply</w:t>
      </w:r>
      <w:r w:rsidR="00512C51">
        <w:t xml:space="preserve"> and </w:t>
      </w:r>
      <w:r w:rsidR="00A91420" w:rsidRPr="0047044B">
        <w:t>Use</w:t>
      </w:r>
      <w:r w:rsidR="00441073">
        <w:t xml:space="preserve"> T</w:t>
      </w:r>
      <w:r w:rsidRPr="0047044B">
        <w:t>ables</w:t>
      </w:r>
      <w:r w:rsidR="00441073">
        <w:t xml:space="preserve"> (SUTs)</w:t>
      </w:r>
      <w:bookmarkEnd w:id="31"/>
      <w:bookmarkEnd w:id="32"/>
      <w:bookmarkEnd w:id="33"/>
      <w:bookmarkEnd w:id="34"/>
      <w:bookmarkEnd w:id="35"/>
    </w:p>
    <w:p w:rsidR="00C91E49" w:rsidRPr="0047044B" w:rsidRDefault="00C91E49" w:rsidP="00833C1E">
      <w:pPr>
        <w:pStyle w:val="BodyText"/>
      </w:pPr>
      <w:r w:rsidRPr="0047044B">
        <w:t xml:space="preserve">A modern open economy like that of Scotland engages in </w:t>
      </w:r>
      <w:r w:rsidR="00EB1CCB">
        <w:t>four</w:t>
      </w:r>
      <w:r w:rsidRPr="0047044B">
        <w:t xml:space="preserve"> basic economic activities:</w:t>
      </w:r>
    </w:p>
    <w:p w:rsidR="00C91E49" w:rsidRPr="0047044B" w:rsidRDefault="00C91E49" w:rsidP="00833C1E">
      <w:pPr>
        <w:pStyle w:val="BodyTextBulletted"/>
      </w:pPr>
      <w:r w:rsidRPr="0047044B">
        <w:rPr>
          <w:rFonts w:cs="Arial"/>
        </w:rPr>
        <w:t>Production</w:t>
      </w:r>
      <w:r w:rsidRPr="0047044B">
        <w:t xml:space="preserve"> involves industr</w:t>
      </w:r>
      <w:r w:rsidR="00512C51">
        <w:t>ies</w:t>
      </w:r>
      <w:r w:rsidRPr="0047044B">
        <w:t xml:space="preserve"> producing goods and services</w:t>
      </w:r>
    </w:p>
    <w:p w:rsidR="00C91E49" w:rsidRPr="0047044B" w:rsidRDefault="00C91E49" w:rsidP="00833C1E">
      <w:pPr>
        <w:pStyle w:val="BodyTextBulletted"/>
      </w:pPr>
      <w:r w:rsidRPr="0047044B">
        <w:rPr>
          <w:rFonts w:cs="Arial"/>
        </w:rPr>
        <w:t xml:space="preserve">Consumption </w:t>
      </w:r>
      <w:r w:rsidRPr="0047044B">
        <w:t>represents purchases of goods and services by both industries and domestic final users comprising mainly households and Central and Local Government</w:t>
      </w:r>
    </w:p>
    <w:p w:rsidR="00C91E49" w:rsidRPr="0047044B" w:rsidRDefault="00C91E49" w:rsidP="00833C1E">
      <w:pPr>
        <w:pStyle w:val="BodyTextBulletted"/>
      </w:pPr>
      <w:r w:rsidRPr="0047044B">
        <w:rPr>
          <w:rFonts w:cs="Arial"/>
        </w:rPr>
        <w:t>Accumulation</w:t>
      </w:r>
      <w:r w:rsidRPr="0047044B">
        <w:t xml:space="preserve"> involves all capital transactions including all fixed investment expenditure and stock change</w:t>
      </w:r>
    </w:p>
    <w:p w:rsidR="00C91E49" w:rsidRPr="0047044B" w:rsidRDefault="00C91E49" w:rsidP="00833C1E">
      <w:pPr>
        <w:pStyle w:val="BodyTextBulletted"/>
      </w:pPr>
      <w:r w:rsidRPr="0047044B">
        <w:rPr>
          <w:rFonts w:cs="Arial"/>
        </w:rPr>
        <w:t>Trade</w:t>
      </w:r>
      <w:r w:rsidRPr="0047044B">
        <w:t xml:space="preserve"> involves imports from, and exports to, the rest of the UK (</w:t>
      </w:r>
      <w:r w:rsidRPr="0047044B">
        <w:rPr>
          <w:rFonts w:cs="Arial"/>
        </w:rPr>
        <w:t>RUK</w:t>
      </w:r>
      <w:r w:rsidRPr="0047044B">
        <w:t>) and the rest of the world (</w:t>
      </w:r>
      <w:r w:rsidRPr="0047044B">
        <w:rPr>
          <w:rFonts w:cs="Arial"/>
        </w:rPr>
        <w:t>RoW</w:t>
      </w:r>
      <w:r w:rsidRPr="0047044B">
        <w:t>)</w:t>
      </w:r>
      <w:r w:rsidR="00512C51">
        <w:t>.</w:t>
      </w:r>
    </w:p>
    <w:p w:rsidR="00F35818" w:rsidRDefault="00C007EE" w:rsidP="00F35818">
      <w:pPr>
        <w:pStyle w:val="BodyText"/>
      </w:pPr>
      <w:r>
        <w:t xml:space="preserve">Measurement of these four activities are captured in the Input-Output framework. The resulting </w:t>
      </w:r>
      <w:r w:rsidR="00C91E49" w:rsidRPr="0047044B">
        <w:t>input-output tables and multipliers for Scotland serve a number of purposes, all of which contribute in different ways to understanding the Scottish economy.</w:t>
      </w:r>
    </w:p>
    <w:p w:rsidR="00F35818" w:rsidRPr="0047044B" w:rsidRDefault="00F35818" w:rsidP="00F35818">
      <w:pPr>
        <w:pStyle w:val="Heading3"/>
      </w:pPr>
      <w:bookmarkStart w:id="36" w:name="_Toc290646625"/>
      <w:bookmarkStart w:id="37" w:name="_Toc290647155"/>
      <w:bookmarkStart w:id="38" w:name="_Toc290647202"/>
      <w:bookmarkStart w:id="39" w:name="_Toc292468935"/>
      <w:bookmarkStart w:id="40" w:name="_Toc497136990"/>
      <w:r>
        <w:t>The Supply</w:t>
      </w:r>
      <w:r w:rsidRPr="0047044B">
        <w:t xml:space="preserve"> </w:t>
      </w:r>
      <w:r>
        <w:t>T</w:t>
      </w:r>
      <w:r w:rsidRPr="0047044B">
        <w:t>able</w:t>
      </w:r>
      <w:bookmarkEnd w:id="36"/>
      <w:bookmarkEnd w:id="37"/>
      <w:bookmarkEnd w:id="38"/>
      <w:bookmarkEnd w:id="39"/>
      <w:bookmarkEnd w:id="40"/>
    </w:p>
    <w:p w:rsidR="00F35818" w:rsidRPr="0047044B" w:rsidRDefault="00F35818" w:rsidP="00F35818">
      <w:pPr>
        <w:pStyle w:val="BodyText"/>
      </w:pPr>
      <w:r w:rsidRPr="0047044B">
        <w:t xml:space="preserve">In broad terms, the </w:t>
      </w:r>
      <w:r w:rsidRPr="00593902">
        <w:rPr>
          <w:rFonts w:cs="Arial"/>
        </w:rPr>
        <w:t>output and supply table</w:t>
      </w:r>
      <w:r w:rsidRPr="0047044B">
        <w:t xml:space="preserve"> allows the user an appreciation of the absolute monetary values of each industry's output for a given calendar year. Additionally, and possibly more importantly, this table also presents the relationships between the output of products and the output of industries - e.g. key statistics are produced on the extent of diversification within industries and the extent of competition between industries producing the same product.</w:t>
      </w:r>
    </w:p>
    <w:p w:rsidR="00F35818" w:rsidRPr="0047044B" w:rsidRDefault="00F35818" w:rsidP="00F35818">
      <w:pPr>
        <w:pStyle w:val="Heading3"/>
      </w:pPr>
      <w:bookmarkStart w:id="41" w:name="_Toc290646626"/>
      <w:bookmarkStart w:id="42" w:name="_Toc290647156"/>
      <w:bookmarkStart w:id="43" w:name="_Toc290647203"/>
      <w:bookmarkStart w:id="44" w:name="_Toc292468936"/>
      <w:bookmarkStart w:id="45" w:name="_Toc497136991"/>
      <w:r w:rsidRPr="0047044B">
        <w:t xml:space="preserve">The Use </w:t>
      </w:r>
      <w:r>
        <w:t>Table</w:t>
      </w:r>
      <w:bookmarkEnd w:id="41"/>
      <w:bookmarkEnd w:id="42"/>
      <w:bookmarkEnd w:id="43"/>
      <w:bookmarkEnd w:id="44"/>
      <w:bookmarkEnd w:id="45"/>
    </w:p>
    <w:p w:rsidR="00F35818" w:rsidRPr="0047044B" w:rsidRDefault="00F35818" w:rsidP="00F35818">
      <w:pPr>
        <w:pStyle w:val="BodyText"/>
      </w:pPr>
      <w:r w:rsidRPr="0047044B">
        <w:t xml:space="preserve">The </w:t>
      </w:r>
      <w:r w:rsidRPr="00593902">
        <w:rPr>
          <w:rFonts w:cs="Arial"/>
        </w:rPr>
        <w:t>combined use matrix</w:t>
      </w:r>
      <w:r w:rsidRPr="0047044B">
        <w:t xml:space="preserve"> shows the </w:t>
      </w:r>
      <w:r w:rsidR="00E80EE1">
        <w:t>consumption of products (goods and services)</w:t>
      </w:r>
      <w:r w:rsidRPr="0047044B">
        <w:t xml:space="preserve"> and primary inputs, in terms of combined domestic and imported goods and services, used in each industry's production process and, in doing so, presents a comprehensive description of the domestic production functions of Scottish industries.</w:t>
      </w:r>
      <w:r>
        <w:t xml:space="preserve">  This table also gives detailed purchasing information by final consumers.</w:t>
      </w:r>
    </w:p>
    <w:p w:rsidR="00F35818" w:rsidRDefault="00F35818" w:rsidP="00F35818">
      <w:pPr>
        <w:pStyle w:val="TableChartTitle"/>
      </w:pPr>
      <w:r>
        <w:t>Supply and Use Tables framework – basic structure</w:t>
      </w:r>
      <w:r>
        <w:br/>
      </w:r>
      <w:r w:rsidRPr="00F35818">
        <w:rPr>
          <w:sz w:val="20"/>
          <w:szCs w:val="20"/>
        </w:rPr>
        <w:t>(adapted from ONS I-O Analyses 2006 edition</w:t>
      </w:r>
      <w:r>
        <w:rPr>
          <w:rStyle w:val="FootnoteReference"/>
          <w:sz w:val="20"/>
          <w:szCs w:val="20"/>
        </w:rPr>
        <w:footnoteReference w:id="6"/>
      </w:r>
      <w:r w:rsidRPr="00F35818">
        <w:rPr>
          <w:sz w:val="20"/>
          <w:szCs w:val="20"/>
        </w:rPr>
        <w:t>)</w:t>
      </w:r>
    </w:p>
    <w:p w:rsidR="00512C51" w:rsidRPr="00F35818" w:rsidRDefault="00D94841" w:rsidP="00F35818">
      <w:pPr>
        <w:pStyle w:val="BodyText"/>
        <w:ind w:left="0"/>
      </w:pPr>
      <w:r w:rsidRPr="00D94841">
        <w:rPr>
          <w:noProof/>
        </w:rPr>
        <w:drawing>
          <wp:inline distT="0" distB="0" distL="0" distR="0" wp14:anchorId="07369BE3" wp14:editId="550711BB">
            <wp:extent cx="5731510" cy="2476136"/>
            <wp:effectExtent l="0" t="0" r="254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2476136"/>
                    </a:xfrm>
                    <a:prstGeom prst="rect">
                      <a:avLst/>
                    </a:prstGeom>
                    <a:noFill/>
                    <a:ln>
                      <a:noFill/>
                    </a:ln>
                  </pic:spPr>
                </pic:pic>
              </a:graphicData>
            </a:graphic>
          </wp:inline>
        </w:drawing>
      </w:r>
    </w:p>
    <w:p w:rsidR="00C91E49" w:rsidRPr="0047044B" w:rsidRDefault="00C91E49" w:rsidP="00332CEF">
      <w:pPr>
        <w:pStyle w:val="Heading2"/>
      </w:pPr>
      <w:bookmarkStart w:id="46" w:name="_Toc290646627"/>
      <w:bookmarkStart w:id="47" w:name="_Toc290647157"/>
      <w:bookmarkStart w:id="48" w:name="_Toc290647204"/>
      <w:bookmarkStart w:id="49" w:name="_Toc292468937"/>
      <w:bookmarkStart w:id="50" w:name="_Toc497136992"/>
      <w:r w:rsidRPr="0047044B">
        <w:lastRenderedPageBreak/>
        <w:t>The Supply Table</w:t>
      </w:r>
      <w:bookmarkEnd w:id="46"/>
      <w:bookmarkEnd w:id="47"/>
      <w:bookmarkEnd w:id="48"/>
      <w:bookmarkEnd w:id="49"/>
      <w:bookmarkEnd w:id="50"/>
    </w:p>
    <w:p w:rsidR="00C91E49" w:rsidRPr="0047044B" w:rsidRDefault="00C91E49" w:rsidP="007F75C3">
      <w:pPr>
        <w:pStyle w:val="BodyText"/>
      </w:pPr>
      <w:r w:rsidRPr="0047044B">
        <w:t xml:space="preserve">The primary purpose of the </w:t>
      </w:r>
      <w:r w:rsidR="00E80EE1">
        <w:t>Supply T</w:t>
      </w:r>
      <w:r w:rsidRPr="0047044B">
        <w:t xml:space="preserve">able is to show the goods and services produced by each industry in Scotland along with the supply of </w:t>
      </w:r>
      <w:r w:rsidR="00E80EE1">
        <w:t xml:space="preserve">goods and services including </w:t>
      </w:r>
      <w:r w:rsidRPr="0047044B">
        <w:t xml:space="preserve">imports. The distinction between industries and </w:t>
      </w:r>
      <w:r w:rsidR="00E80EE1">
        <w:t>products</w:t>
      </w:r>
      <w:r w:rsidRPr="0047044B">
        <w:t xml:space="preserve"> is important; individual firms and organisations are classified according to the products they make. If they produce more than one product, they are classified according to whichever product accounts for the largest component part of their output (£). Each industry produces what is termed to be its </w:t>
      </w:r>
      <w:r w:rsidRPr="0047044B">
        <w:rPr>
          <w:rFonts w:cs="Arial"/>
        </w:rPr>
        <w:t>principal product</w:t>
      </w:r>
      <w:r w:rsidRPr="0047044B">
        <w:t xml:space="preserve"> (shown in the diagonal elements in the table) and many industries also produce a range of other products referred to as </w:t>
      </w:r>
      <w:r w:rsidRPr="0047044B">
        <w:rPr>
          <w:rFonts w:cs="Arial"/>
        </w:rPr>
        <w:t>secondary production</w:t>
      </w:r>
      <w:r w:rsidRPr="0047044B">
        <w:t xml:space="preserve"> (shown in the off-diagonal cells)</w:t>
      </w:r>
      <w:r w:rsidR="00E80EE1">
        <w:t xml:space="preserve"> or by-products</w:t>
      </w:r>
      <w:r w:rsidRPr="0047044B">
        <w:t>.</w:t>
      </w:r>
    </w:p>
    <w:p w:rsidR="00C91E49" w:rsidRPr="0047044B" w:rsidRDefault="00C91E49" w:rsidP="007F75C3">
      <w:pPr>
        <w:pStyle w:val="BodyText"/>
      </w:pPr>
      <w:r w:rsidRPr="0047044B">
        <w:t xml:space="preserve">The table below </w:t>
      </w:r>
      <w:r w:rsidR="00E80EE1">
        <w:t>shows the main elements of the Supply T</w:t>
      </w:r>
      <w:r w:rsidRPr="0047044B">
        <w:t xml:space="preserve">able for Scotland for </w:t>
      </w:r>
      <w:r w:rsidR="00EA0DBF">
        <w:t>201</w:t>
      </w:r>
      <w:r w:rsidR="00ED6084">
        <w:t>4</w:t>
      </w:r>
      <w:r w:rsidRPr="0047044B">
        <w:t xml:space="preserve"> (the off-diagonal elements are suppressed to prevent disclosure). The supply of products is presented in the rows while the columns show the industries responsible for the output of these products. This table is an aggregate version of the full </w:t>
      </w:r>
      <w:r w:rsidR="00E80EE1">
        <w:t>Supply Table</w:t>
      </w:r>
      <w:r w:rsidRPr="0047044B">
        <w:t xml:space="preserve">, which shows the output of each of the </w:t>
      </w:r>
      <w:r w:rsidR="00EA0DBF">
        <w:t>98</w:t>
      </w:r>
      <w:r w:rsidRPr="0047044B">
        <w:t xml:space="preserve"> </w:t>
      </w:r>
      <w:r w:rsidRPr="0047044B">
        <w:rPr>
          <w:rFonts w:cs="Arial"/>
        </w:rPr>
        <w:t>I-O</w:t>
      </w:r>
      <w:r w:rsidRPr="0047044B">
        <w:t xml:space="preserve"> industry groups by each of the </w:t>
      </w:r>
      <w:r w:rsidR="00EA0DBF">
        <w:t>98</w:t>
      </w:r>
      <w:r w:rsidRPr="0047044B">
        <w:t xml:space="preserve"> </w:t>
      </w:r>
      <w:r w:rsidRPr="0047044B">
        <w:rPr>
          <w:rFonts w:cs="Arial"/>
        </w:rPr>
        <w:t>I-O</w:t>
      </w:r>
      <w:r w:rsidRPr="0047044B">
        <w:t xml:space="preserve"> product groups. The full </w:t>
      </w:r>
      <w:r w:rsidR="00E80EE1">
        <w:t>Supply Table</w:t>
      </w:r>
      <w:r w:rsidRPr="0047044B">
        <w:t xml:space="preserve"> is no longer published due to the disclosive nature of the data. However, some information about the levels of supply and market share of each of the </w:t>
      </w:r>
      <w:r w:rsidR="00EA0DBF">
        <w:t>98</w:t>
      </w:r>
      <w:r w:rsidRPr="0047044B">
        <w:t xml:space="preserve"> industries is avai</w:t>
      </w:r>
      <w:r w:rsidR="00E80EE1">
        <w:t>lable, in summary form, in the S</w:t>
      </w:r>
      <w:r w:rsidRPr="0047044B">
        <w:t xml:space="preserve">upply </w:t>
      </w:r>
      <w:r w:rsidR="00E80EE1">
        <w:t>Table</w:t>
      </w:r>
      <w:r w:rsidRPr="0047044B">
        <w:t xml:space="preserve"> (available in the </w:t>
      </w:r>
      <w:r w:rsidRPr="00593902">
        <w:rPr>
          <w:rFonts w:cs="Arial"/>
        </w:rPr>
        <w:t>downloads</w:t>
      </w:r>
      <w:r w:rsidRPr="0047044B">
        <w:t xml:space="preserve"> section</w:t>
      </w:r>
      <w:r w:rsidR="00593902">
        <w:t xml:space="preserve"> of the </w:t>
      </w:r>
      <w:hyperlink r:id="rId22" w:history="1">
        <w:r w:rsidR="00593902" w:rsidRPr="008E78B7">
          <w:rPr>
            <w:rStyle w:val="Hyperlink"/>
          </w:rPr>
          <w:t>Input-Output website</w:t>
        </w:r>
      </w:hyperlink>
      <w:r w:rsidR="00593902">
        <w:rPr>
          <w:rStyle w:val="FootnoteReference"/>
        </w:rPr>
        <w:footnoteReference w:id="7"/>
      </w:r>
      <w:r w:rsidR="00593902">
        <w:t>)</w:t>
      </w:r>
      <w:r w:rsidRPr="0047044B">
        <w:t>.</w:t>
      </w:r>
    </w:p>
    <w:p w:rsidR="00C91E49" w:rsidRDefault="00E80EE1" w:rsidP="007F75C3">
      <w:pPr>
        <w:pStyle w:val="BodyText"/>
      </w:pPr>
      <w:r>
        <w:t>The Supply T</w:t>
      </w:r>
      <w:r w:rsidR="00C91E49" w:rsidRPr="0047044B">
        <w:t xml:space="preserve">able also demonstrates the transition from total domestic </w:t>
      </w:r>
      <w:r>
        <w:t>supply</w:t>
      </w:r>
      <w:r w:rsidR="00C91E49" w:rsidRPr="0047044B">
        <w:t xml:space="preserve"> of products at basic prices to total </w:t>
      </w:r>
      <w:r>
        <w:t>supply</w:t>
      </w:r>
      <w:r w:rsidR="00C91E49" w:rsidRPr="0047044B">
        <w:t xml:space="preserve"> at purchasers' prices through the addition of </w:t>
      </w:r>
      <w:r>
        <w:t>distributors’ trading</w:t>
      </w:r>
      <w:r w:rsidR="00C91E49" w:rsidRPr="0047044B">
        <w:t xml:space="preserve"> margins and taxes </w:t>
      </w:r>
      <w:r w:rsidR="00C91E49" w:rsidRPr="0047044B">
        <w:rPr>
          <w:rFonts w:cs="Arial"/>
        </w:rPr>
        <w:t>less</w:t>
      </w:r>
      <w:r w:rsidR="00C91E49" w:rsidRPr="0047044B">
        <w:t xml:space="preserve"> subsidies on product</w:t>
      </w:r>
      <w:r w:rsidR="006422B5">
        <w:t>ion</w:t>
      </w:r>
      <w:r w:rsidR="00C91E49" w:rsidRPr="0047044B">
        <w:t>. The transition from domestic output to total supply is made by the addition of imports and their related taxes and margins.</w:t>
      </w:r>
    </w:p>
    <w:p w:rsidR="00C91E49" w:rsidRDefault="00C91E49" w:rsidP="00A127CC">
      <w:pPr>
        <w:pStyle w:val="TableChartTitle"/>
      </w:pPr>
      <w:r w:rsidRPr="007F75C3">
        <w:t xml:space="preserve">Aggregate </w:t>
      </w:r>
      <w:r w:rsidR="007F75C3">
        <w:t xml:space="preserve">Supply Table </w:t>
      </w:r>
      <w:r w:rsidR="00EA0DBF">
        <w:t>201</w:t>
      </w:r>
      <w:r w:rsidR="00720685">
        <w:t>4</w:t>
      </w:r>
      <w:r w:rsidR="007F75C3">
        <w:br/>
      </w:r>
      <w:r w:rsidR="00E80EE1">
        <w:t xml:space="preserve">(Output at </w:t>
      </w:r>
      <w:r w:rsidR="00E80EE1" w:rsidRPr="00A127CC">
        <w:t>Basic</w:t>
      </w:r>
      <w:r w:rsidR="00E80EE1">
        <w:t xml:space="preserve"> P</w:t>
      </w:r>
      <w:r w:rsidRPr="007F75C3">
        <w:t>rices and</w:t>
      </w:r>
      <w:r w:rsidR="00332CEF" w:rsidRPr="007F75C3">
        <w:t xml:space="preserve"> Supply at Purchasers' Prices)</w:t>
      </w:r>
      <w:r w:rsidR="00332CEF" w:rsidRPr="007F75C3">
        <w:tab/>
      </w:r>
      <w:r w:rsidRPr="007F75C3">
        <w:t>£m</w:t>
      </w:r>
      <w:r w:rsidR="006422B5">
        <w:t>illions</w:t>
      </w:r>
    </w:p>
    <w:p w:rsidR="00720685" w:rsidRPr="00720685" w:rsidRDefault="00720685" w:rsidP="007A137C">
      <w:r>
        <w:rPr>
          <w:noProof/>
        </w:rPr>
        <w:drawing>
          <wp:inline distT="0" distB="0" distL="0" distR="0" wp14:anchorId="41E4769A" wp14:editId="74A6C197">
            <wp:extent cx="5731510" cy="1781175"/>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_agg_supply_table_2014.jpg"/>
                    <pic:cNvPicPr/>
                  </pic:nvPicPr>
                  <pic:blipFill>
                    <a:blip r:embed="rId23">
                      <a:extLst>
                        <a:ext uri="{28A0092B-C50C-407E-A947-70E740481C1C}">
                          <a14:useLocalDpi xmlns:a14="http://schemas.microsoft.com/office/drawing/2010/main" val="0"/>
                        </a:ext>
                      </a:extLst>
                    </a:blip>
                    <a:stretch>
                      <a:fillRect/>
                    </a:stretch>
                  </pic:blipFill>
                  <pic:spPr>
                    <a:xfrm>
                      <a:off x="0" y="0"/>
                      <a:ext cx="5731510" cy="1781175"/>
                    </a:xfrm>
                    <a:prstGeom prst="rect">
                      <a:avLst/>
                    </a:prstGeom>
                  </pic:spPr>
                </pic:pic>
              </a:graphicData>
            </a:graphic>
          </wp:inline>
        </w:drawing>
      </w:r>
    </w:p>
    <w:p w:rsidR="007A137C" w:rsidRPr="003D2D87" w:rsidRDefault="007A137C" w:rsidP="00E15B9A">
      <w:pPr>
        <w:pStyle w:val="BodyText"/>
        <w:spacing w:after="0"/>
        <w:ind w:left="0"/>
        <w:rPr>
          <w:rStyle w:val="BodyTextChar"/>
        </w:rPr>
      </w:pPr>
    </w:p>
    <w:p w:rsidR="00C91E49" w:rsidRDefault="00332CEF" w:rsidP="00332CEF">
      <w:pPr>
        <w:pStyle w:val="TableChartFootnote"/>
      </w:pPr>
      <w:r>
        <w:t>Note:</w:t>
      </w:r>
      <w:r>
        <w:tab/>
      </w:r>
      <w:r w:rsidR="00C91E49" w:rsidRPr="0047044B">
        <w:t>This table is for illustrative purposes only. Entries denoted by ** have been suppressed as possibly disclosive. For this reason, the row and column totals do not add up to the sum of the components.</w:t>
      </w:r>
    </w:p>
    <w:p w:rsidR="00C91E49" w:rsidRPr="0047044B" w:rsidRDefault="00A127CC" w:rsidP="00332CEF">
      <w:pPr>
        <w:pStyle w:val="Heading3"/>
      </w:pPr>
      <w:bookmarkStart w:id="51" w:name="_Toc290646628"/>
      <w:bookmarkStart w:id="52" w:name="_Toc290647158"/>
      <w:bookmarkStart w:id="53" w:name="_Toc290647205"/>
      <w:r>
        <w:br w:type="page"/>
      </w:r>
      <w:bookmarkStart w:id="54" w:name="_Toc292468938"/>
      <w:bookmarkStart w:id="55" w:name="_Toc497136993"/>
      <w:r w:rsidR="00E06906">
        <w:lastRenderedPageBreak/>
        <w:t>Interpretation</w:t>
      </w:r>
      <w:r w:rsidR="00C91E49" w:rsidRPr="0047044B">
        <w:t xml:space="preserve"> of the Supply Table</w:t>
      </w:r>
      <w:bookmarkEnd w:id="51"/>
      <w:bookmarkEnd w:id="52"/>
      <w:bookmarkEnd w:id="53"/>
      <w:bookmarkEnd w:id="54"/>
      <w:bookmarkEnd w:id="55"/>
    </w:p>
    <w:p w:rsidR="00C91E49" w:rsidRPr="0047044B" w:rsidRDefault="00C91E49" w:rsidP="00332CEF">
      <w:pPr>
        <w:pStyle w:val="Heading4"/>
      </w:pPr>
      <w:r w:rsidRPr="0047044B">
        <w:t>Indicators of the diversity of comm</w:t>
      </w:r>
      <w:r w:rsidR="000A5718" w:rsidRPr="0047044B">
        <w:t>odities produced by an industry</w:t>
      </w:r>
    </w:p>
    <w:p w:rsidR="00C91E49" w:rsidRPr="0047044B" w:rsidRDefault="00C91E49" w:rsidP="007F75C3">
      <w:pPr>
        <w:pStyle w:val="BodyText"/>
      </w:pPr>
      <w:r w:rsidRPr="0047044B">
        <w:t xml:space="preserve">It can be seen in column 3 of the above table that the Manufacturing industry produced </w:t>
      </w:r>
      <w:r w:rsidR="00561EBB">
        <w:t>£</w:t>
      </w:r>
      <w:r w:rsidR="00720685">
        <w:t>32,879</w:t>
      </w:r>
      <w:r w:rsidR="00561EBB">
        <w:t>m</w:t>
      </w:r>
      <w:r w:rsidRPr="0047044B">
        <w:t xml:space="preserve"> of its principal product in</w:t>
      </w:r>
      <w:r w:rsidR="00561EBB">
        <w:t xml:space="preserve"> 201</w:t>
      </w:r>
      <w:r w:rsidR="00720685">
        <w:t>4</w:t>
      </w:r>
      <w:r w:rsidRPr="0047044B">
        <w:t xml:space="preserve">, accounting for </w:t>
      </w:r>
      <w:r w:rsidR="00561EBB">
        <w:t>9</w:t>
      </w:r>
      <w:r w:rsidR="003D2B6A">
        <w:t>4</w:t>
      </w:r>
      <w:r w:rsidRPr="0047044B">
        <w:t xml:space="preserve"> per cent of this industry's total output (</w:t>
      </w:r>
      <w:r w:rsidR="00561EBB">
        <w:t>£</w:t>
      </w:r>
      <w:r w:rsidR="00720685">
        <w:t>34</w:t>
      </w:r>
      <w:r w:rsidR="0082056F">
        <w:t>,</w:t>
      </w:r>
      <w:r w:rsidR="00720685">
        <w:t>834</w:t>
      </w:r>
      <w:r w:rsidR="00561EBB">
        <w:t>m</w:t>
      </w:r>
      <w:r w:rsidRPr="0047044B">
        <w:t>). The remaining cells within this column are suppressed to avoid presenting disclosive figures.</w:t>
      </w:r>
    </w:p>
    <w:p w:rsidR="00C91E49" w:rsidRPr="0047044B" w:rsidRDefault="00C91E49" w:rsidP="007F75C3">
      <w:pPr>
        <w:pStyle w:val="BodyText"/>
      </w:pPr>
      <w:r w:rsidRPr="0047044B">
        <w:t xml:space="preserve">This indicator is presented, at </w:t>
      </w:r>
      <w:r w:rsidR="00561EBB">
        <w:t>98</w:t>
      </w:r>
      <w:r w:rsidRPr="0047044B">
        <w:t>-</w:t>
      </w:r>
      <w:r w:rsidR="00A127CC">
        <w:t>industry detail, in the Supply T</w:t>
      </w:r>
      <w:r w:rsidRPr="0047044B">
        <w:t xml:space="preserve">able as 'Principal Products as a percentage of Total Industry Output'. This statistic shows that for </w:t>
      </w:r>
      <w:r w:rsidR="00E15B9A">
        <w:t>the majority</w:t>
      </w:r>
      <w:r w:rsidRPr="0047044B">
        <w:t xml:space="preserve"> of industries </w:t>
      </w:r>
      <w:r w:rsidRPr="00677598">
        <w:t>in Scotland in</w:t>
      </w:r>
      <w:r w:rsidR="00561EBB" w:rsidRPr="00677598">
        <w:t xml:space="preserve"> 201</w:t>
      </w:r>
      <w:r w:rsidR="00720685">
        <w:t>4</w:t>
      </w:r>
      <w:r w:rsidRPr="0047044B">
        <w:t>, secondary production of goods and services accounted for less than 20 per cent of their total output.</w:t>
      </w:r>
    </w:p>
    <w:p w:rsidR="00C91E49" w:rsidRPr="0047044B" w:rsidRDefault="00C91E49" w:rsidP="00332CEF">
      <w:pPr>
        <w:pStyle w:val="Heading4"/>
      </w:pPr>
      <w:r w:rsidRPr="0047044B">
        <w:t>Indicators of market share</w:t>
      </w:r>
    </w:p>
    <w:p w:rsidR="00C91E49" w:rsidRPr="0047044B" w:rsidRDefault="00C91E49" w:rsidP="007F75C3">
      <w:pPr>
        <w:pStyle w:val="BodyText"/>
      </w:pPr>
      <w:r w:rsidRPr="0047044B">
        <w:t xml:space="preserve">Conversely, to look at the industries that produce Manufacturing </w:t>
      </w:r>
      <w:r w:rsidR="00A127CC">
        <w:t>products</w:t>
      </w:r>
      <w:r w:rsidRPr="0047044B">
        <w:t>, we consider row 3 of the above table. We find that the manufacturing industry is responsible for the production of virtually all manufacturing commodities (</w:t>
      </w:r>
      <w:r w:rsidR="003D2B6A">
        <w:t xml:space="preserve">over </w:t>
      </w:r>
      <w:r w:rsidRPr="0047044B">
        <w:t xml:space="preserve">99%). This is an indicator of market share and is presented, </w:t>
      </w:r>
      <w:r w:rsidR="00A127CC">
        <w:t xml:space="preserve">at </w:t>
      </w:r>
      <w:r w:rsidR="00561EBB">
        <w:t>98</w:t>
      </w:r>
      <w:r w:rsidR="00A127CC">
        <w:t>-industry detail, in the Supply T</w:t>
      </w:r>
      <w:r w:rsidRPr="0047044B">
        <w:t>able as 'Principal Products as a percentage of Total Output of Products'.</w:t>
      </w:r>
    </w:p>
    <w:p w:rsidR="000A5718" w:rsidRPr="0047044B" w:rsidRDefault="00A127CC" w:rsidP="00332CEF">
      <w:pPr>
        <w:pStyle w:val="Heading2"/>
      </w:pPr>
      <w:bookmarkStart w:id="56" w:name="_Toc290646629"/>
      <w:bookmarkStart w:id="57" w:name="_Toc290647159"/>
      <w:bookmarkStart w:id="58" w:name="_Toc290647206"/>
      <w:r>
        <w:br w:type="page"/>
      </w:r>
      <w:bookmarkStart w:id="59" w:name="_Toc292468939"/>
      <w:bookmarkStart w:id="60" w:name="_Toc497136994"/>
      <w:r>
        <w:lastRenderedPageBreak/>
        <w:t>The Use T</w:t>
      </w:r>
      <w:r w:rsidR="000A5718" w:rsidRPr="0047044B">
        <w:t>able</w:t>
      </w:r>
      <w:bookmarkEnd w:id="56"/>
      <w:bookmarkEnd w:id="57"/>
      <w:bookmarkEnd w:id="58"/>
      <w:bookmarkEnd w:id="59"/>
      <w:bookmarkEnd w:id="60"/>
    </w:p>
    <w:p w:rsidR="000A5718" w:rsidRPr="0047044B" w:rsidRDefault="000A5718" w:rsidP="007F75C3">
      <w:pPr>
        <w:pStyle w:val="BodyText"/>
      </w:pPr>
      <w:r w:rsidRPr="0047044B">
        <w:t>An aggregated combined use matrix at purchasers' prices is presented below. As in the previous table, industries are shown in the columns and p</w:t>
      </w:r>
      <w:r w:rsidR="00A127CC">
        <w:t>roducts in the rows. Where the Supply T</w:t>
      </w:r>
      <w:r w:rsidRPr="0047044B">
        <w:t xml:space="preserve">able presented </w:t>
      </w:r>
      <w:r w:rsidR="00A127CC">
        <w:t>the supply of goods and services for Scottish consumption, the Use Table</w:t>
      </w:r>
      <w:r w:rsidRPr="0047044B">
        <w:t xml:space="preserve"> shows the demand for th</w:t>
      </w:r>
      <w:r w:rsidR="00A127CC">
        <w:t xml:space="preserve">e goods and services </w:t>
      </w:r>
      <w:r w:rsidRPr="0047044B">
        <w:t>by industries and final demand across the product rows.</w:t>
      </w:r>
    </w:p>
    <w:p w:rsidR="000A5718" w:rsidRDefault="000A5718" w:rsidP="007F75C3">
      <w:pPr>
        <w:pStyle w:val="TableChartTitle"/>
      </w:pPr>
      <w:r w:rsidRPr="007F75C3">
        <w:t xml:space="preserve">Aggregate Combined Use </w:t>
      </w:r>
      <w:r w:rsidR="00781C95">
        <w:t xml:space="preserve">Table </w:t>
      </w:r>
      <w:r w:rsidR="00756018">
        <w:t>201</w:t>
      </w:r>
      <w:r w:rsidR="00720685">
        <w:t>4</w:t>
      </w:r>
      <w:r w:rsidR="00781C95">
        <w:br/>
      </w:r>
      <w:r w:rsidR="00332CEF" w:rsidRPr="007F75C3">
        <w:t>(Purchasers' Prices)</w:t>
      </w:r>
      <w:r w:rsidR="00332CEF" w:rsidRPr="007F75C3">
        <w:tab/>
      </w:r>
      <w:r w:rsidRPr="007F75C3">
        <w:t>£m</w:t>
      </w:r>
      <w:r w:rsidR="006422B5">
        <w:t>illions</w:t>
      </w:r>
    </w:p>
    <w:p w:rsidR="00585ED6" w:rsidRDefault="00D9496A" w:rsidP="00585ED6">
      <w:pPr>
        <w:pStyle w:val="BodyText"/>
        <w:spacing w:after="480"/>
        <w:ind w:left="0"/>
      </w:pPr>
      <w:r>
        <w:rPr>
          <w:noProof/>
        </w:rPr>
        <w:drawing>
          <wp:inline distT="0" distB="0" distL="0" distR="0" wp14:anchorId="653719A6" wp14:editId="0DDFEA6C">
            <wp:extent cx="5731510" cy="212217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_agg_use_table_2014.jpg"/>
                    <pic:cNvPicPr/>
                  </pic:nvPicPr>
                  <pic:blipFill>
                    <a:blip r:embed="rId24">
                      <a:extLst>
                        <a:ext uri="{28A0092B-C50C-407E-A947-70E740481C1C}">
                          <a14:useLocalDpi xmlns:a14="http://schemas.microsoft.com/office/drawing/2010/main" val="0"/>
                        </a:ext>
                      </a:extLst>
                    </a:blip>
                    <a:stretch>
                      <a:fillRect/>
                    </a:stretch>
                  </pic:blipFill>
                  <pic:spPr>
                    <a:xfrm>
                      <a:off x="0" y="0"/>
                      <a:ext cx="5731510" cy="2122170"/>
                    </a:xfrm>
                    <a:prstGeom prst="rect">
                      <a:avLst/>
                    </a:prstGeom>
                  </pic:spPr>
                </pic:pic>
              </a:graphicData>
            </a:graphic>
          </wp:inline>
        </w:drawing>
      </w:r>
    </w:p>
    <w:p w:rsidR="000A5718" w:rsidRPr="0047044B" w:rsidRDefault="000A5718" w:rsidP="00585ED6">
      <w:pPr>
        <w:pStyle w:val="BodyText"/>
        <w:ind w:left="0"/>
      </w:pPr>
      <w:r w:rsidRPr="0047044B">
        <w:t xml:space="preserve">The </w:t>
      </w:r>
      <w:r w:rsidR="00A127CC">
        <w:t>Use Table</w:t>
      </w:r>
      <w:r w:rsidRPr="0047044B">
        <w:t xml:space="preserve"> can be split into 3 main sections.</w:t>
      </w:r>
    </w:p>
    <w:p w:rsidR="000A5718" w:rsidRPr="0047044B" w:rsidRDefault="000A5718" w:rsidP="007F75C3">
      <w:pPr>
        <w:pStyle w:val="BodyTextBulletted"/>
      </w:pPr>
      <w:r w:rsidRPr="007F75C3">
        <w:rPr>
          <w:rFonts w:cs="Arial"/>
          <w:b/>
        </w:rPr>
        <w:t>The intermediate demand (section 1)</w:t>
      </w:r>
      <w:r w:rsidRPr="0047044B">
        <w:t>, which shows the inputs of products, both domestic and imported, used by Scottish industries in the production of their output.</w:t>
      </w:r>
    </w:p>
    <w:p w:rsidR="000A5718" w:rsidRPr="007F75C3" w:rsidRDefault="000A5718" w:rsidP="007F75C3">
      <w:pPr>
        <w:pStyle w:val="BodyTextBulletted"/>
        <w:rPr>
          <w:b/>
        </w:rPr>
      </w:pPr>
      <w:r w:rsidRPr="007F75C3">
        <w:rPr>
          <w:rFonts w:cs="Arial"/>
          <w:b/>
        </w:rPr>
        <w:t>The final demand (section 2)</w:t>
      </w:r>
      <w:r w:rsidRPr="0047044B">
        <w:t>, which shows the purchases of each product by each category of final demand (e.g. consumers, government, export)</w:t>
      </w:r>
    </w:p>
    <w:p w:rsidR="000A5718" w:rsidRDefault="000A5718" w:rsidP="007F75C3">
      <w:pPr>
        <w:pStyle w:val="BodyTextBulletted"/>
      </w:pPr>
      <w:r w:rsidRPr="007F75C3">
        <w:rPr>
          <w:rFonts w:cs="Arial"/>
          <w:b/>
        </w:rPr>
        <w:t>The primary inputs (section 3)</w:t>
      </w:r>
      <w:r w:rsidRPr="0047044B">
        <w:rPr>
          <w:rFonts w:cs="Arial"/>
        </w:rPr>
        <w:t>,</w:t>
      </w:r>
      <w:r w:rsidRPr="0047044B">
        <w:t xml:space="preserve"> these inputs do not flow through the other industries, they are employees' salaries, taxes less subsidies on production and gross operating surplus, which together constitute Gross Value Added.</w:t>
      </w:r>
    </w:p>
    <w:p w:rsidR="007F75C3" w:rsidRDefault="007F75C3" w:rsidP="007F75C3">
      <w:pPr>
        <w:pStyle w:val="BodyTextBulletted"/>
        <w:numPr>
          <w:ilvl w:val="0"/>
          <w:numId w:val="0"/>
        </w:numPr>
        <w:ind w:left="927" w:hanging="360"/>
      </w:pPr>
    </w:p>
    <w:p w:rsidR="0072124C" w:rsidRPr="0047044B" w:rsidRDefault="000A5718" w:rsidP="007F75C3">
      <w:pPr>
        <w:pStyle w:val="BodyText"/>
      </w:pPr>
      <w:r w:rsidRPr="0047044B">
        <w:t xml:space="preserve">The Combined Use matrix is repeated at full </w:t>
      </w:r>
      <w:r w:rsidR="00756018">
        <w:t>98</w:t>
      </w:r>
      <w:r w:rsidRPr="0047044B">
        <w:t xml:space="preserve">-industry detail in the </w:t>
      </w:r>
      <w:hyperlink r:id="rId25" w:history="1">
        <w:r w:rsidRPr="0047044B">
          <w:rPr>
            <w:rStyle w:val="Hyperlink"/>
            <w:color w:val="auto"/>
            <w:u w:val="none"/>
          </w:rPr>
          <w:t>downloads</w:t>
        </w:r>
      </w:hyperlink>
      <w:r w:rsidRPr="0047044B">
        <w:t xml:space="preserve"> section of th</w:t>
      </w:r>
      <w:r w:rsidR="006422B5">
        <w:t xml:space="preserve">e </w:t>
      </w:r>
      <w:hyperlink r:id="rId26" w:history="1">
        <w:r w:rsidR="006422B5" w:rsidRPr="008E78B7">
          <w:rPr>
            <w:rStyle w:val="Hyperlink"/>
          </w:rPr>
          <w:t xml:space="preserve">Input-Output </w:t>
        </w:r>
        <w:r w:rsidRPr="008E78B7">
          <w:rPr>
            <w:rStyle w:val="Hyperlink"/>
          </w:rPr>
          <w:t>website</w:t>
        </w:r>
      </w:hyperlink>
      <w:r w:rsidR="00593902">
        <w:rPr>
          <w:rStyle w:val="FootnoteReference"/>
        </w:rPr>
        <w:footnoteReference w:id="8"/>
      </w:r>
      <w:r w:rsidRPr="0047044B">
        <w:t>.</w:t>
      </w:r>
    </w:p>
    <w:p w:rsidR="000A5718" w:rsidRPr="0047044B" w:rsidRDefault="00A127CC" w:rsidP="00332CEF">
      <w:pPr>
        <w:pStyle w:val="Heading3"/>
      </w:pPr>
      <w:bookmarkStart w:id="61" w:name="_Toc290646630"/>
      <w:bookmarkStart w:id="62" w:name="_Toc290647160"/>
      <w:bookmarkStart w:id="63" w:name="_Toc290647207"/>
      <w:r>
        <w:br w:type="page"/>
      </w:r>
      <w:bookmarkStart w:id="64" w:name="_Toc292468940"/>
      <w:bookmarkStart w:id="65" w:name="_Toc497136995"/>
      <w:r w:rsidR="00E06906">
        <w:lastRenderedPageBreak/>
        <w:t>Interpretation</w:t>
      </w:r>
      <w:r w:rsidR="000A5718" w:rsidRPr="0047044B">
        <w:t xml:space="preserve"> of the Use </w:t>
      </w:r>
      <w:r w:rsidR="0072124C" w:rsidRPr="0047044B">
        <w:t>Table</w:t>
      </w:r>
      <w:bookmarkEnd w:id="61"/>
      <w:bookmarkEnd w:id="62"/>
      <w:bookmarkEnd w:id="63"/>
      <w:bookmarkEnd w:id="64"/>
      <w:bookmarkEnd w:id="65"/>
    </w:p>
    <w:p w:rsidR="000A5718" w:rsidRPr="0047044B" w:rsidRDefault="000A5718" w:rsidP="00332CEF">
      <w:pPr>
        <w:pStyle w:val="Heading4"/>
      </w:pPr>
      <w:r w:rsidRPr="0047044B">
        <w:t>Inputs to the production process</w:t>
      </w:r>
    </w:p>
    <w:p w:rsidR="000A5718" w:rsidRPr="009C23A4" w:rsidRDefault="009C23A4" w:rsidP="007F75C3">
      <w:pPr>
        <w:pStyle w:val="BodyText"/>
      </w:pPr>
      <w:r w:rsidRPr="009C23A4">
        <w:t xml:space="preserve">Column 3 of the above table shows the purchases made by the Scottish Manufacturing industry in order to produce its own output. We can see that the main purchases made by this industry comprised: </w:t>
      </w:r>
      <w:r w:rsidR="00AD5D25" w:rsidRPr="00AD5D25">
        <w:t>an estimated £13,115 million of its own principal product, £1,808 million of agriculture, forestry and fishing products, £1,571 million of professional and support activities products, and £1,235 million of transport, storage and communication products.</w:t>
      </w:r>
    </w:p>
    <w:p w:rsidR="000A5718" w:rsidRPr="0047044B" w:rsidRDefault="000A5718" w:rsidP="00332CEF">
      <w:pPr>
        <w:pStyle w:val="Heading4"/>
      </w:pPr>
      <w:r w:rsidRPr="0047044B">
        <w:t>Destination of products</w:t>
      </w:r>
    </w:p>
    <w:p w:rsidR="006422B5" w:rsidRPr="009C23A4" w:rsidRDefault="009C23A4" w:rsidP="007F75C3">
      <w:pPr>
        <w:pStyle w:val="BodyText"/>
      </w:pPr>
      <w:r w:rsidRPr="009C23A4">
        <w:t xml:space="preserve">The total demand for manufactured products produced in Scotland is given in the above table as </w:t>
      </w:r>
      <w:r w:rsidR="00DB38AE">
        <w:t>£</w:t>
      </w:r>
      <w:r w:rsidR="00720685">
        <w:t>103,545</w:t>
      </w:r>
      <w:r w:rsidR="00DB38AE">
        <w:t xml:space="preserve"> </w:t>
      </w:r>
      <w:r w:rsidRPr="009C23A4">
        <w:t xml:space="preserve">million. Row 3 of this table presents the consumption of manufacturing products by both the intermediate and final demand parts of the economy. This row shows that, in addition to the </w:t>
      </w:r>
      <w:r w:rsidR="00DB38AE">
        <w:t>£</w:t>
      </w:r>
      <w:r w:rsidR="00720685">
        <w:t>13,115</w:t>
      </w:r>
      <w:r w:rsidRPr="009C23A4">
        <w:t xml:space="preserve"> million purchased by the manufacturing industry, </w:t>
      </w:r>
      <w:r w:rsidR="007E68B5">
        <w:t>government</w:t>
      </w:r>
      <w:r w:rsidR="00DB38AE">
        <w:t>, health and education</w:t>
      </w:r>
      <w:r w:rsidR="007E68B5">
        <w:t xml:space="preserve"> (£</w:t>
      </w:r>
      <w:r w:rsidR="00720685">
        <w:t>4,692</w:t>
      </w:r>
      <w:r w:rsidR="007E68B5">
        <w:t>m)</w:t>
      </w:r>
      <w:r w:rsidRPr="009C23A4">
        <w:t xml:space="preserve">, </w:t>
      </w:r>
      <w:r w:rsidR="007E68B5">
        <w:t>distribution, hotels and catering (£</w:t>
      </w:r>
      <w:r w:rsidR="00720685">
        <w:t>3,049</w:t>
      </w:r>
      <w:r w:rsidR="007E68B5">
        <w:t>m)</w:t>
      </w:r>
      <w:r w:rsidRPr="009C23A4">
        <w:t xml:space="preserve">, and </w:t>
      </w:r>
      <w:r w:rsidR="007E68B5">
        <w:t>construction (£</w:t>
      </w:r>
      <w:r w:rsidR="005727EF">
        <w:t>3,466</w:t>
      </w:r>
      <w:r w:rsidR="007E68B5">
        <w:t>m)</w:t>
      </w:r>
      <w:r w:rsidRPr="009C23A4">
        <w:t xml:space="preserve"> were the most significant intermediate destination for these products. </w:t>
      </w:r>
      <w:r w:rsidR="007E68B5">
        <w:t xml:space="preserve">Around </w:t>
      </w:r>
      <w:r w:rsidR="00720685">
        <w:t>28</w:t>
      </w:r>
      <w:r w:rsidR="00DB38AE">
        <w:t>%</w:t>
      </w:r>
      <w:r w:rsidRPr="009C23A4">
        <w:t xml:space="preserve"> of </w:t>
      </w:r>
      <w:r w:rsidR="00573B13">
        <w:t xml:space="preserve">the supply of </w:t>
      </w:r>
      <w:r w:rsidRPr="009C23A4">
        <w:t>manufactured products are exported to the rest of the UK (</w:t>
      </w:r>
      <w:r w:rsidR="00DB38AE">
        <w:t>£</w:t>
      </w:r>
      <w:r w:rsidR="00720685">
        <w:t>14,841</w:t>
      </w:r>
      <w:r w:rsidR="00DB38AE">
        <w:t>m</w:t>
      </w:r>
      <w:r w:rsidRPr="009C23A4">
        <w:t>) and to the rest of the world (</w:t>
      </w:r>
      <w:r w:rsidR="00DB38AE">
        <w:t>£</w:t>
      </w:r>
      <w:r w:rsidR="00720685">
        <w:t>14,057</w:t>
      </w:r>
      <w:r w:rsidRPr="009C23A4">
        <w:t>).</w:t>
      </w:r>
    </w:p>
    <w:p w:rsidR="00E62DE2" w:rsidRDefault="00410AFC" w:rsidP="00410AFC">
      <w:pPr>
        <w:pStyle w:val="Heading1"/>
      </w:pPr>
      <w:r>
        <w:br w:type="page"/>
      </w:r>
      <w:bookmarkStart w:id="66" w:name="_Toc290646631"/>
      <w:bookmarkStart w:id="67" w:name="_Toc290647161"/>
      <w:bookmarkStart w:id="68" w:name="_Toc290647208"/>
      <w:bookmarkStart w:id="69" w:name="_Toc292468941"/>
      <w:bookmarkStart w:id="70" w:name="_Toc497136996"/>
      <w:r w:rsidR="00AE2BEB">
        <w:lastRenderedPageBreak/>
        <w:t>Gross Domestic Product (GDP)</w:t>
      </w:r>
      <w:r w:rsidR="00A127CC">
        <w:t xml:space="preserve"> and the</w:t>
      </w:r>
      <w:r w:rsidR="00A127CC">
        <w:br/>
      </w:r>
      <w:r w:rsidR="00E62DE2">
        <w:t>Supply and Use Tables.</w:t>
      </w:r>
      <w:bookmarkEnd w:id="66"/>
      <w:bookmarkEnd w:id="67"/>
      <w:bookmarkEnd w:id="68"/>
      <w:bookmarkEnd w:id="69"/>
      <w:bookmarkEnd w:id="70"/>
    </w:p>
    <w:p w:rsidR="00E62DE2" w:rsidRDefault="00A127CC" w:rsidP="00E06906">
      <w:pPr>
        <w:pStyle w:val="BodyText"/>
      </w:pPr>
      <w:r>
        <w:t>An important feature of the Supply and U</w:t>
      </w:r>
      <w:r w:rsidR="008F2FDA">
        <w:t xml:space="preserve">se framework is that it presents Gross Domestic Product </w:t>
      </w:r>
      <w:r>
        <w:t>as</w:t>
      </w:r>
      <w:r w:rsidR="008F2FDA">
        <w:t xml:space="preserve"> measured using </w:t>
      </w:r>
      <w:r>
        <w:t>three</w:t>
      </w:r>
      <w:r w:rsidR="008F2FDA">
        <w:t xml:space="preserve"> distinct approaches.</w:t>
      </w:r>
    </w:p>
    <w:p w:rsidR="008F2FDA" w:rsidRDefault="008F2FDA" w:rsidP="008F2FDA">
      <w:pPr>
        <w:pStyle w:val="Heading3"/>
      </w:pPr>
      <w:bookmarkStart w:id="71" w:name="_Toc290646632"/>
      <w:bookmarkStart w:id="72" w:name="_Toc290647162"/>
      <w:bookmarkStart w:id="73" w:name="_Toc290647209"/>
      <w:bookmarkStart w:id="74" w:name="_Toc292468942"/>
      <w:bookmarkStart w:id="75" w:name="_Toc497136997"/>
      <w:r>
        <w:t xml:space="preserve">GDP measured using </w:t>
      </w:r>
      <w:r w:rsidR="00DF3F08">
        <w:t>the</w:t>
      </w:r>
      <w:r>
        <w:t xml:space="preserve"> Production approach</w:t>
      </w:r>
      <w:bookmarkEnd w:id="71"/>
      <w:bookmarkEnd w:id="72"/>
      <w:bookmarkEnd w:id="73"/>
      <w:bookmarkEnd w:id="74"/>
      <w:bookmarkEnd w:id="75"/>
    </w:p>
    <w:p w:rsidR="008F2FDA" w:rsidRDefault="008F2FDA" w:rsidP="00E06906">
      <w:pPr>
        <w:pStyle w:val="BodyText"/>
      </w:pPr>
      <w:r>
        <w:t>GDP at basic prices is also known as Gross Value Added</w:t>
      </w:r>
      <w:r w:rsidR="0082271D">
        <w:t xml:space="preserve"> (GVA)</w:t>
      </w:r>
      <w:r>
        <w:t xml:space="preserve">, that is it is a measure of the </w:t>
      </w:r>
      <w:r w:rsidR="00AD5913">
        <w:t xml:space="preserve">gross </w:t>
      </w:r>
      <w:r>
        <w:t xml:space="preserve">value added to the economy by each </w:t>
      </w:r>
      <w:r w:rsidR="00AD5913">
        <w:t>producing unit</w:t>
      </w:r>
      <w:r>
        <w:t xml:space="preserve"> in Scotland. Broadly speaking, it is simply the sum of each compan</w:t>
      </w:r>
      <w:r w:rsidR="0016784D">
        <w:t>y’s</w:t>
      </w:r>
      <w:r>
        <w:t xml:space="preserve"> outputs (sales) less inputs (purchases). </w:t>
      </w:r>
    </w:p>
    <w:p w:rsidR="008F2FDA" w:rsidRDefault="008F2FDA" w:rsidP="00E06906">
      <w:pPr>
        <w:pStyle w:val="BodyText"/>
      </w:pPr>
      <w:r>
        <w:t xml:space="preserve">The output of an organisation will be equal to the total value of sales (turnover) over a given period although account is also taken of goods manufactured but held in inventory and work in progress (which is particularly relevant for industries like ship-building where the outputs are high-value but infrequent). The final component of output includes any items of a capital nature created in-house for the companies own final use - e.g. databases and other computer systems. These are valued and added to the other items to form a figure </w:t>
      </w:r>
      <w:r w:rsidR="0016784D">
        <w:t>for</w:t>
      </w:r>
      <w:r>
        <w:t xml:space="preserve"> the total value of goods and services produced by an organisation - their Gross Output at Basic Prices. </w:t>
      </w:r>
    </w:p>
    <w:p w:rsidR="008F2FDA" w:rsidRDefault="008F2FDA" w:rsidP="00E06906">
      <w:pPr>
        <w:pStyle w:val="BodyText"/>
      </w:pPr>
      <w:r>
        <w:t xml:space="preserve">In producing these outputs, an organisation will have to purchase raw materials, energy and other intermediate inputs of goods and services: these are subtracted from the output (including any taxes relating to these purchases) to yield Gross Value Added. </w:t>
      </w:r>
    </w:p>
    <w:p w:rsidR="0082271D" w:rsidRDefault="0082271D" w:rsidP="00E06906">
      <w:pPr>
        <w:pStyle w:val="BodyText"/>
      </w:pPr>
      <w:r>
        <w:t>The following shows the calculation of GVA (production</w:t>
      </w:r>
      <w:r w:rsidR="00DF3F08">
        <w:t xml:space="preserve"> approach) </w:t>
      </w:r>
      <w:r>
        <w:t>for Scotland in</w:t>
      </w:r>
      <w:r w:rsidR="00A24963">
        <w:t xml:space="preserve"> </w:t>
      </w:r>
      <w:r w:rsidR="00573B13">
        <w:t>201</w:t>
      </w:r>
      <w:r w:rsidR="0082056F">
        <w:t>4</w:t>
      </w:r>
      <w:r>
        <w:t>:</w:t>
      </w:r>
    </w:p>
    <w:tbl>
      <w:tblPr>
        <w:tblW w:w="8460" w:type="dxa"/>
        <w:tblInd w:w="648" w:type="dxa"/>
        <w:tblLook w:val="01E0" w:firstRow="1" w:lastRow="1" w:firstColumn="1" w:lastColumn="1" w:noHBand="0" w:noVBand="0"/>
      </w:tblPr>
      <w:tblGrid>
        <w:gridCol w:w="5940"/>
        <w:gridCol w:w="2520"/>
      </w:tblGrid>
      <w:tr w:rsidR="0082271D" w:rsidTr="00554469">
        <w:trPr>
          <w:trHeight w:hRule="exact" w:val="284"/>
        </w:trPr>
        <w:tc>
          <w:tcPr>
            <w:tcW w:w="5940" w:type="dxa"/>
            <w:shd w:val="clear" w:color="auto" w:fill="auto"/>
            <w:vAlign w:val="bottom"/>
          </w:tcPr>
          <w:p w:rsidR="0082271D" w:rsidRDefault="00AD5913" w:rsidP="001E66E1">
            <w:r>
              <w:t>Total o</w:t>
            </w:r>
            <w:r w:rsidR="0082271D">
              <w:t xml:space="preserve">utput </w:t>
            </w:r>
            <w:r>
              <w:t>at basic prices</w:t>
            </w:r>
            <w:r w:rsidR="001E66E1">
              <w:t xml:space="preserve"> (a)</w:t>
            </w:r>
          </w:p>
        </w:tc>
        <w:tc>
          <w:tcPr>
            <w:tcW w:w="2520" w:type="dxa"/>
            <w:shd w:val="clear" w:color="auto" w:fill="auto"/>
            <w:vAlign w:val="bottom"/>
          </w:tcPr>
          <w:p w:rsidR="0082271D" w:rsidRDefault="00320F9A" w:rsidP="0082056F">
            <w:pPr>
              <w:jc w:val="right"/>
            </w:pPr>
            <w:r>
              <w:t>£</w:t>
            </w:r>
            <w:r w:rsidR="0082056F">
              <w:t>233.1</w:t>
            </w:r>
            <w:r>
              <w:t xml:space="preserve"> </w:t>
            </w:r>
            <w:r w:rsidR="0082271D">
              <w:t>billion</w:t>
            </w:r>
          </w:p>
        </w:tc>
      </w:tr>
      <w:tr w:rsidR="0082271D" w:rsidTr="00554469">
        <w:trPr>
          <w:trHeight w:hRule="exact" w:val="284"/>
        </w:trPr>
        <w:tc>
          <w:tcPr>
            <w:tcW w:w="5940" w:type="dxa"/>
            <w:tcBorders>
              <w:bottom w:val="single" w:sz="4" w:space="0" w:color="auto"/>
            </w:tcBorders>
            <w:shd w:val="clear" w:color="auto" w:fill="auto"/>
            <w:vAlign w:val="bottom"/>
          </w:tcPr>
          <w:p w:rsidR="0082271D" w:rsidRDefault="001E66E1" w:rsidP="001E66E1">
            <w:r>
              <w:t xml:space="preserve">Total intermediate inputs </w:t>
            </w:r>
            <w:r w:rsidR="00AD5913">
              <w:t>at purchasers’ prices</w:t>
            </w:r>
            <w:r>
              <w:t xml:space="preserve"> (b)</w:t>
            </w:r>
          </w:p>
        </w:tc>
        <w:tc>
          <w:tcPr>
            <w:tcW w:w="2520" w:type="dxa"/>
            <w:tcBorders>
              <w:bottom w:val="single" w:sz="4" w:space="0" w:color="auto"/>
            </w:tcBorders>
            <w:shd w:val="clear" w:color="auto" w:fill="auto"/>
            <w:vAlign w:val="bottom"/>
          </w:tcPr>
          <w:p w:rsidR="0082271D" w:rsidRDefault="00320F9A" w:rsidP="0082056F">
            <w:pPr>
              <w:jc w:val="right"/>
            </w:pPr>
            <w:r>
              <w:t>£</w:t>
            </w:r>
            <w:r w:rsidR="0082056F">
              <w:t>107.1</w:t>
            </w:r>
            <w:r>
              <w:t xml:space="preserve"> </w:t>
            </w:r>
            <w:r w:rsidR="0082271D">
              <w:t>billion</w:t>
            </w:r>
          </w:p>
        </w:tc>
      </w:tr>
      <w:tr w:rsidR="0082271D" w:rsidRPr="00554469" w:rsidTr="00554469">
        <w:trPr>
          <w:trHeight w:hRule="exact" w:val="284"/>
        </w:trPr>
        <w:tc>
          <w:tcPr>
            <w:tcW w:w="5940" w:type="dxa"/>
            <w:tcBorders>
              <w:top w:val="single" w:sz="4" w:space="0" w:color="auto"/>
              <w:bottom w:val="single" w:sz="12" w:space="0" w:color="auto"/>
            </w:tcBorders>
            <w:shd w:val="clear" w:color="auto" w:fill="auto"/>
            <w:vAlign w:val="bottom"/>
          </w:tcPr>
          <w:p w:rsidR="0082271D" w:rsidRPr="00554469" w:rsidRDefault="0082271D" w:rsidP="001E66E1">
            <w:pPr>
              <w:rPr>
                <w:b/>
              </w:rPr>
            </w:pPr>
            <w:r w:rsidRPr="00554469">
              <w:rPr>
                <w:b/>
              </w:rPr>
              <w:t xml:space="preserve">Gross Value Added </w:t>
            </w:r>
            <w:r w:rsidR="008A3857" w:rsidRPr="00554469">
              <w:rPr>
                <w:b/>
              </w:rPr>
              <w:t xml:space="preserve">at basic prices </w:t>
            </w:r>
            <w:r w:rsidRPr="00554469">
              <w:rPr>
                <w:b/>
              </w:rPr>
              <w:t>(a-b)</w:t>
            </w:r>
          </w:p>
        </w:tc>
        <w:tc>
          <w:tcPr>
            <w:tcW w:w="2520" w:type="dxa"/>
            <w:tcBorders>
              <w:top w:val="single" w:sz="4" w:space="0" w:color="auto"/>
              <w:bottom w:val="single" w:sz="12" w:space="0" w:color="auto"/>
            </w:tcBorders>
            <w:shd w:val="clear" w:color="auto" w:fill="auto"/>
            <w:vAlign w:val="bottom"/>
          </w:tcPr>
          <w:p w:rsidR="0082271D" w:rsidRPr="00554469" w:rsidRDefault="00320F9A" w:rsidP="0082056F">
            <w:pPr>
              <w:jc w:val="right"/>
              <w:rPr>
                <w:b/>
              </w:rPr>
            </w:pPr>
            <w:r>
              <w:rPr>
                <w:b/>
              </w:rPr>
              <w:t>£</w:t>
            </w:r>
            <w:r w:rsidR="0082056F">
              <w:rPr>
                <w:b/>
              </w:rPr>
              <w:t>126.0</w:t>
            </w:r>
            <w:r w:rsidR="00C54FA7">
              <w:rPr>
                <w:b/>
              </w:rPr>
              <w:t xml:space="preserve"> </w:t>
            </w:r>
            <w:r w:rsidR="0082271D" w:rsidRPr="00554469">
              <w:rPr>
                <w:b/>
              </w:rPr>
              <w:t>billion</w:t>
            </w:r>
          </w:p>
        </w:tc>
      </w:tr>
      <w:tr w:rsidR="00AD5913" w:rsidTr="00554469">
        <w:trPr>
          <w:trHeight w:hRule="exact" w:val="284"/>
        </w:trPr>
        <w:tc>
          <w:tcPr>
            <w:tcW w:w="5940" w:type="dxa"/>
            <w:tcBorders>
              <w:top w:val="single" w:sz="12" w:space="0" w:color="auto"/>
              <w:bottom w:val="single" w:sz="4" w:space="0" w:color="auto"/>
            </w:tcBorders>
            <w:shd w:val="clear" w:color="auto" w:fill="auto"/>
            <w:vAlign w:val="bottom"/>
          </w:tcPr>
          <w:p w:rsidR="00AD5913" w:rsidRDefault="00AD5913" w:rsidP="001E66E1">
            <w:r>
              <w:t xml:space="preserve">Taxes </w:t>
            </w:r>
            <w:r w:rsidRPr="00554469">
              <w:rPr>
                <w:i/>
              </w:rPr>
              <w:t>less</w:t>
            </w:r>
            <w:r>
              <w:t xml:space="preserve"> subsidies on products (c)</w:t>
            </w:r>
          </w:p>
        </w:tc>
        <w:tc>
          <w:tcPr>
            <w:tcW w:w="2520" w:type="dxa"/>
            <w:tcBorders>
              <w:top w:val="single" w:sz="12" w:space="0" w:color="auto"/>
              <w:bottom w:val="single" w:sz="4" w:space="0" w:color="auto"/>
            </w:tcBorders>
            <w:shd w:val="clear" w:color="auto" w:fill="auto"/>
            <w:vAlign w:val="bottom"/>
          </w:tcPr>
          <w:p w:rsidR="00AD5913" w:rsidRPr="00DF3F08" w:rsidRDefault="00C54FA7" w:rsidP="0082056F">
            <w:pPr>
              <w:jc w:val="right"/>
            </w:pPr>
            <w:r>
              <w:t>£</w:t>
            </w:r>
            <w:r w:rsidR="0082056F">
              <w:t>17.0</w:t>
            </w:r>
            <w:r>
              <w:t xml:space="preserve"> </w:t>
            </w:r>
            <w:r w:rsidR="00AD5913" w:rsidRPr="00DF3F08">
              <w:t>billion</w:t>
            </w:r>
          </w:p>
        </w:tc>
      </w:tr>
      <w:tr w:rsidR="00AD5913" w:rsidRPr="00554469" w:rsidTr="00554469">
        <w:trPr>
          <w:trHeight w:hRule="exact" w:val="284"/>
        </w:trPr>
        <w:tc>
          <w:tcPr>
            <w:tcW w:w="5940" w:type="dxa"/>
            <w:tcBorders>
              <w:top w:val="single" w:sz="4" w:space="0" w:color="auto"/>
              <w:bottom w:val="single" w:sz="12" w:space="0" w:color="auto"/>
            </w:tcBorders>
            <w:shd w:val="clear" w:color="auto" w:fill="auto"/>
            <w:vAlign w:val="bottom"/>
          </w:tcPr>
          <w:p w:rsidR="00AD5913" w:rsidRPr="00554469" w:rsidRDefault="00AD5913" w:rsidP="001E66E1">
            <w:pPr>
              <w:rPr>
                <w:b/>
              </w:rPr>
            </w:pPr>
            <w:r w:rsidRPr="00554469">
              <w:rPr>
                <w:b/>
              </w:rPr>
              <w:t>Gross Domestic Product at market prices</w:t>
            </w:r>
            <w:r w:rsidR="001E66E1" w:rsidRPr="00554469">
              <w:rPr>
                <w:b/>
              </w:rPr>
              <w:t xml:space="preserve"> (</w:t>
            </w:r>
            <w:proofErr w:type="spellStart"/>
            <w:r w:rsidR="001E66E1" w:rsidRPr="00554469">
              <w:rPr>
                <w:b/>
              </w:rPr>
              <w:t>a-b+c</w:t>
            </w:r>
            <w:proofErr w:type="spellEnd"/>
            <w:r w:rsidR="001E66E1" w:rsidRPr="00554469">
              <w:rPr>
                <w:b/>
              </w:rPr>
              <w:t>)</w:t>
            </w:r>
          </w:p>
        </w:tc>
        <w:tc>
          <w:tcPr>
            <w:tcW w:w="2520" w:type="dxa"/>
            <w:tcBorders>
              <w:top w:val="single" w:sz="4" w:space="0" w:color="auto"/>
              <w:bottom w:val="single" w:sz="12" w:space="0" w:color="auto"/>
            </w:tcBorders>
            <w:shd w:val="clear" w:color="auto" w:fill="auto"/>
            <w:vAlign w:val="bottom"/>
          </w:tcPr>
          <w:p w:rsidR="00AD5913" w:rsidRPr="00554469" w:rsidRDefault="00C54FA7" w:rsidP="0082056F">
            <w:pPr>
              <w:jc w:val="right"/>
              <w:rPr>
                <w:b/>
              </w:rPr>
            </w:pPr>
            <w:r>
              <w:rPr>
                <w:b/>
              </w:rPr>
              <w:t>£</w:t>
            </w:r>
            <w:r w:rsidR="0082056F">
              <w:rPr>
                <w:b/>
              </w:rPr>
              <w:t>143.0</w:t>
            </w:r>
            <w:r>
              <w:rPr>
                <w:b/>
              </w:rPr>
              <w:t xml:space="preserve"> </w:t>
            </w:r>
            <w:r w:rsidR="00AD5913" w:rsidRPr="00554469">
              <w:rPr>
                <w:b/>
              </w:rPr>
              <w:t>billion</w:t>
            </w:r>
          </w:p>
        </w:tc>
      </w:tr>
    </w:tbl>
    <w:p w:rsidR="008F2FDA" w:rsidRDefault="00DF3F08" w:rsidP="008F2FDA">
      <w:pPr>
        <w:pStyle w:val="Heading3"/>
      </w:pPr>
      <w:bookmarkStart w:id="76" w:name="_Toc290646633"/>
      <w:bookmarkStart w:id="77" w:name="_Toc290647163"/>
      <w:bookmarkStart w:id="78" w:name="_Toc290647210"/>
      <w:bookmarkStart w:id="79" w:name="_Toc292468943"/>
      <w:bookmarkStart w:id="80" w:name="_Toc497136998"/>
      <w:r>
        <w:t>GDP measured using the</w:t>
      </w:r>
      <w:r w:rsidR="008F2FDA">
        <w:t xml:space="preserve"> Income approach</w:t>
      </w:r>
      <w:bookmarkEnd w:id="76"/>
      <w:bookmarkEnd w:id="77"/>
      <w:bookmarkEnd w:id="78"/>
      <w:bookmarkEnd w:id="79"/>
      <w:bookmarkEnd w:id="80"/>
    </w:p>
    <w:p w:rsidR="008F2FDA" w:rsidRDefault="008F2FDA" w:rsidP="00E06906">
      <w:pPr>
        <w:pStyle w:val="BodyText"/>
      </w:pPr>
      <w:r>
        <w:t>Gross Value added (GDP at basic prices) is also equal to the costs of employment (wages, national insurance and pension contributions), any taxes</w:t>
      </w:r>
      <w:r w:rsidR="0082271D">
        <w:t xml:space="preserve">, less subsidies, </w:t>
      </w:r>
      <w:r>
        <w:t>levied upon production (e.g. business rates, vehicle excise duty) and Gross Operating Surpl</w:t>
      </w:r>
      <w:r w:rsidR="0082271D">
        <w:t>us (broadly analogous to profit)</w:t>
      </w:r>
    </w:p>
    <w:p w:rsidR="0082271D" w:rsidRDefault="0082271D" w:rsidP="00E06906">
      <w:pPr>
        <w:pStyle w:val="BodyText"/>
      </w:pPr>
      <w:r>
        <w:t xml:space="preserve">The following shows the calculation of GVA </w:t>
      </w:r>
      <w:r w:rsidR="00DF3F08">
        <w:t xml:space="preserve">(income approach) </w:t>
      </w:r>
      <w:r>
        <w:t>for Scotland in</w:t>
      </w:r>
      <w:r w:rsidR="00C54FA7">
        <w:t xml:space="preserve"> 201</w:t>
      </w:r>
      <w:r w:rsidR="0082056F">
        <w:t>4</w:t>
      </w:r>
      <w:r>
        <w:t>:</w:t>
      </w:r>
    </w:p>
    <w:tbl>
      <w:tblPr>
        <w:tblW w:w="0" w:type="auto"/>
        <w:tblInd w:w="648" w:type="dxa"/>
        <w:tblLook w:val="01E0" w:firstRow="1" w:lastRow="1" w:firstColumn="1" w:lastColumn="1" w:noHBand="0" w:noVBand="0"/>
      </w:tblPr>
      <w:tblGrid>
        <w:gridCol w:w="5940"/>
        <w:gridCol w:w="2520"/>
      </w:tblGrid>
      <w:tr w:rsidR="0082271D" w:rsidTr="00554469">
        <w:trPr>
          <w:trHeight w:hRule="exact" w:val="284"/>
        </w:trPr>
        <w:tc>
          <w:tcPr>
            <w:tcW w:w="5940" w:type="dxa"/>
            <w:shd w:val="clear" w:color="auto" w:fill="auto"/>
            <w:vAlign w:val="bottom"/>
          </w:tcPr>
          <w:p w:rsidR="0082271D" w:rsidRDefault="00DF3F08" w:rsidP="00850B2F">
            <w:r>
              <w:t>Compensation of Employees</w:t>
            </w:r>
            <w:r w:rsidR="0082271D">
              <w:t xml:space="preserve"> (a)</w:t>
            </w:r>
          </w:p>
        </w:tc>
        <w:tc>
          <w:tcPr>
            <w:tcW w:w="2520" w:type="dxa"/>
            <w:shd w:val="clear" w:color="auto" w:fill="auto"/>
            <w:vAlign w:val="bottom"/>
          </w:tcPr>
          <w:p w:rsidR="0082271D" w:rsidRPr="00DF3F08" w:rsidRDefault="00C54FA7" w:rsidP="0082056F">
            <w:pPr>
              <w:jc w:val="right"/>
            </w:pPr>
            <w:r>
              <w:t>£</w:t>
            </w:r>
            <w:r w:rsidR="0082056F">
              <w:t>72</w:t>
            </w:r>
            <w:r w:rsidR="00573B13">
              <w:t>.</w:t>
            </w:r>
            <w:r w:rsidR="0082056F">
              <w:t>5</w:t>
            </w:r>
            <w:r>
              <w:t xml:space="preserve"> </w:t>
            </w:r>
            <w:r w:rsidR="0082271D" w:rsidRPr="00DF3F08">
              <w:t>billion</w:t>
            </w:r>
          </w:p>
        </w:tc>
      </w:tr>
      <w:tr w:rsidR="0082271D" w:rsidTr="00554469">
        <w:trPr>
          <w:trHeight w:hRule="exact" w:val="284"/>
        </w:trPr>
        <w:tc>
          <w:tcPr>
            <w:tcW w:w="5940" w:type="dxa"/>
            <w:shd w:val="clear" w:color="auto" w:fill="auto"/>
            <w:vAlign w:val="bottom"/>
          </w:tcPr>
          <w:p w:rsidR="0082271D" w:rsidRDefault="00DF3F08" w:rsidP="00850B2F">
            <w:r>
              <w:t>Taxes, less subsidies, on production</w:t>
            </w:r>
            <w:r w:rsidR="0082271D">
              <w:t xml:space="preserve"> (b)</w:t>
            </w:r>
          </w:p>
        </w:tc>
        <w:tc>
          <w:tcPr>
            <w:tcW w:w="2520" w:type="dxa"/>
            <w:shd w:val="clear" w:color="auto" w:fill="auto"/>
            <w:vAlign w:val="bottom"/>
          </w:tcPr>
          <w:p w:rsidR="0082271D" w:rsidRPr="00DF3F08" w:rsidRDefault="00C54FA7" w:rsidP="00573B13">
            <w:pPr>
              <w:jc w:val="right"/>
            </w:pPr>
            <w:r>
              <w:t>£</w:t>
            </w:r>
            <w:r w:rsidR="0082056F">
              <w:t>1.6</w:t>
            </w:r>
            <w:r>
              <w:t xml:space="preserve"> </w:t>
            </w:r>
            <w:r w:rsidR="0082271D" w:rsidRPr="00DF3F08">
              <w:t>billion</w:t>
            </w:r>
          </w:p>
        </w:tc>
      </w:tr>
      <w:tr w:rsidR="0082271D" w:rsidTr="00554469">
        <w:trPr>
          <w:trHeight w:hRule="exact" w:val="284"/>
        </w:trPr>
        <w:tc>
          <w:tcPr>
            <w:tcW w:w="5940" w:type="dxa"/>
            <w:tcBorders>
              <w:bottom w:val="single" w:sz="4" w:space="0" w:color="auto"/>
            </w:tcBorders>
            <w:shd w:val="clear" w:color="auto" w:fill="auto"/>
            <w:vAlign w:val="bottom"/>
          </w:tcPr>
          <w:p w:rsidR="0082271D" w:rsidRDefault="00DF3F08" w:rsidP="00850B2F">
            <w:r>
              <w:t xml:space="preserve">Gross Operating Surplus (c) </w:t>
            </w:r>
          </w:p>
        </w:tc>
        <w:tc>
          <w:tcPr>
            <w:tcW w:w="2520" w:type="dxa"/>
            <w:tcBorders>
              <w:bottom w:val="single" w:sz="4" w:space="0" w:color="auto"/>
            </w:tcBorders>
            <w:shd w:val="clear" w:color="auto" w:fill="auto"/>
            <w:vAlign w:val="bottom"/>
          </w:tcPr>
          <w:p w:rsidR="0082271D" w:rsidRPr="00DF3F08" w:rsidRDefault="00C54FA7" w:rsidP="0082056F">
            <w:pPr>
              <w:jc w:val="right"/>
            </w:pPr>
            <w:r>
              <w:t>£</w:t>
            </w:r>
            <w:r w:rsidR="0082056F">
              <w:t>52</w:t>
            </w:r>
            <w:r w:rsidR="00573B13">
              <w:t>.</w:t>
            </w:r>
            <w:r w:rsidR="0082056F">
              <w:t>0</w:t>
            </w:r>
            <w:r>
              <w:t xml:space="preserve"> </w:t>
            </w:r>
            <w:r w:rsidR="00DF3F08" w:rsidRPr="00DF3F08">
              <w:t>billion</w:t>
            </w:r>
          </w:p>
        </w:tc>
      </w:tr>
      <w:tr w:rsidR="00DF3F08" w:rsidRPr="00554469" w:rsidTr="00554469">
        <w:trPr>
          <w:trHeight w:hRule="exact" w:val="284"/>
        </w:trPr>
        <w:tc>
          <w:tcPr>
            <w:tcW w:w="5940" w:type="dxa"/>
            <w:tcBorders>
              <w:top w:val="single" w:sz="4" w:space="0" w:color="auto"/>
              <w:bottom w:val="single" w:sz="4" w:space="0" w:color="auto"/>
            </w:tcBorders>
            <w:shd w:val="clear" w:color="auto" w:fill="auto"/>
            <w:vAlign w:val="bottom"/>
          </w:tcPr>
          <w:p w:rsidR="00DF3F08" w:rsidRPr="00554469" w:rsidRDefault="00DF3F08" w:rsidP="00850B2F">
            <w:pPr>
              <w:rPr>
                <w:b/>
              </w:rPr>
            </w:pPr>
            <w:r w:rsidRPr="00554469">
              <w:rPr>
                <w:b/>
              </w:rPr>
              <w:t>Gross Value Added</w:t>
            </w:r>
            <w:r w:rsidR="008A3857" w:rsidRPr="00554469">
              <w:rPr>
                <w:b/>
              </w:rPr>
              <w:t xml:space="preserve"> at basic prices</w:t>
            </w:r>
            <w:r w:rsidRPr="00554469">
              <w:rPr>
                <w:b/>
              </w:rPr>
              <w:t xml:space="preserve"> (</w:t>
            </w:r>
            <w:proofErr w:type="spellStart"/>
            <w:r w:rsidRPr="00554469">
              <w:rPr>
                <w:b/>
              </w:rPr>
              <w:t>a+b+c</w:t>
            </w:r>
            <w:proofErr w:type="spellEnd"/>
            <w:r w:rsidRPr="00554469">
              <w:rPr>
                <w:b/>
              </w:rPr>
              <w:t>)</w:t>
            </w:r>
          </w:p>
        </w:tc>
        <w:tc>
          <w:tcPr>
            <w:tcW w:w="2520" w:type="dxa"/>
            <w:tcBorders>
              <w:top w:val="single" w:sz="4" w:space="0" w:color="auto"/>
              <w:bottom w:val="single" w:sz="4" w:space="0" w:color="auto"/>
            </w:tcBorders>
            <w:shd w:val="clear" w:color="auto" w:fill="auto"/>
            <w:vAlign w:val="bottom"/>
          </w:tcPr>
          <w:p w:rsidR="00DF3F08" w:rsidRPr="00554469" w:rsidRDefault="00C54FA7" w:rsidP="007860C7">
            <w:pPr>
              <w:jc w:val="right"/>
              <w:rPr>
                <w:b/>
              </w:rPr>
            </w:pPr>
            <w:r>
              <w:rPr>
                <w:b/>
              </w:rPr>
              <w:t>£</w:t>
            </w:r>
            <w:r w:rsidR="0082056F" w:rsidRPr="00865341">
              <w:rPr>
                <w:b/>
              </w:rPr>
              <w:t>126.</w:t>
            </w:r>
            <w:r w:rsidR="007860C7" w:rsidRPr="00865341">
              <w:rPr>
                <w:b/>
              </w:rPr>
              <w:t>0</w:t>
            </w:r>
            <w:r w:rsidRPr="00865341">
              <w:rPr>
                <w:b/>
              </w:rPr>
              <w:t xml:space="preserve"> </w:t>
            </w:r>
            <w:r w:rsidR="00DF3F08" w:rsidRPr="00865341">
              <w:rPr>
                <w:b/>
              </w:rPr>
              <w:t>billion</w:t>
            </w:r>
          </w:p>
        </w:tc>
      </w:tr>
      <w:tr w:rsidR="00850B2F" w:rsidTr="00554469">
        <w:trPr>
          <w:trHeight w:hRule="exact" w:val="284"/>
        </w:trPr>
        <w:tc>
          <w:tcPr>
            <w:tcW w:w="5940" w:type="dxa"/>
            <w:tcBorders>
              <w:top w:val="single" w:sz="12" w:space="0" w:color="auto"/>
              <w:bottom w:val="single" w:sz="4" w:space="0" w:color="auto"/>
            </w:tcBorders>
            <w:shd w:val="clear" w:color="auto" w:fill="auto"/>
            <w:vAlign w:val="bottom"/>
          </w:tcPr>
          <w:p w:rsidR="00850B2F" w:rsidRDefault="00850B2F" w:rsidP="00850B2F">
            <w:r>
              <w:t xml:space="preserve">Taxes </w:t>
            </w:r>
            <w:r w:rsidRPr="00554469">
              <w:rPr>
                <w:i/>
              </w:rPr>
              <w:t>less</w:t>
            </w:r>
            <w:r>
              <w:t xml:space="preserve"> subsidies on products (d)</w:t>
            </w:r>
          </w:p>
        </w:tc>
        <w:tc>
          <w:tcPr>
            <w:tcW w:w="2520" w:type="dxa"/>
            <w:tcBorders>
              <w:top w:val="single" w:sz="12" w:space="0" w:color="auto"/>
              <w:bottom w:val="single" w:sz="4" w:space="0" w:color="auto"/>
            </w:tcBorders>
            <w:shd w:val="clear" w:color="auto" w:fill="auto"/>
            <w:vAlign w:val="bottom"/>
          </w:tcPr>
          <w:p w:rsidR="00850B2F" w:rsidRPr="00DF3F08" w:rsidRDefault="00C54FA7" w:rsidP="00573B13">
            <w:pPr>
              <w:jc w:val="right"/>
            </w:pPr>
            <w:r>
              <w:t>£</w:t>
            </w:r>
            <w:r w:rsidR="0082056F">
              <w:t>17.0</w:t>
            </w:r>
            <w:r>
              <w:t xml:space="preserve"> </w:t>
            </w:r>
            <w:r w:rsidR="00850B2F" w:rsidRPr="00DF3F08">
              <w:t>billion</w:t>
            </w:r>
          </w:p>
        </w:tc>
      </w:tr>
      <w:tr w:rsidR="00850B2F" w:rsidRPr="00554469" w:rsidTr="00554469">
        <w:trPr>
          <w:trHeight w:hRule="exact" w:val="284"/>
        </w:trPr>
        <w:tc>
          <w:tcPr>
            <w:tcW w:w="5940" w:type="dxa"/>
            <w:tcBorders>
              <w:top w:val="single" w:sz="4" w:space="0" w:color="auto"/>
              <w:bottom w:val="single" w:sz="12" w:space="0" w:color="auto"/>
            </w:tcBorders>
            <w:shd w:val="clear" w:color="auto" w:fill="auto"/>
            <w:vAlign w:val="bottom"/>
          </w:tcPr>
          <w:p w:rsidR="00850B2F" w:rsidRPr="00554469" w:rsidRDefault="00850B2F" w:rsidP="00850B2F">
            <w:pPr>
              <w:rPr>
                <w:b/>
              </w:rPr>
            </w:pPr>
            <w:r w:rsidRPr="00554469">
              <w:rPr>
                <w:b/>
              </w:rPr>
              <w:t>Gross Domestic Product at market prices (</w:t>
            </w:r>
            <w:proofErr w:type="spellStart"/>
            <w:r w:rsidRPr="00554469">
              <w:rPr>
                <w:b/>
              </w:rPr>
              <w:t>a+b+c+d</w:t>
            </w:r>
            <w:proofErr w:type="spellEnd"/>
            <w:r w:rsidRPr="00554469">
              <w:rPr>
                <w:b/>
              </w:rPr>
              <w:t>)</w:t>
            </w:r>
          </w:p>
        </w:tc>
        <w:tc>
          <w:tcPr>
            <w:tcW w:w="2520" w:type="dxa"/>
            <w:tcBorders>
              <w:top w:val="single" w:sz="4" w:space="0" w:color="auto"/>
              <w:bottom w:val="single" w:sz="12" w:space="0" w:color="auto"/>
            </w:tcBorders>
            <w:shd w:val="clear" w:color="auto" w:fill="auto"/>
            <w:vAlign w:val="bottom"/>
          </w:tcPr>
          <w:p w:rsidR="00850B2F" w:rsidRPr="00554469" w:rsidRDefault="00C54FA7" w:rsidP="0082056F">
            <w:pPr>
              <w:jc w:val="right"/>
              <w:rPr>
                <w:b/>
              </w:rPr>
            </w:pPr>
            <w:r>
              <w:rPr>
                <w:b/>
              </w:rPr>
              <w:t>£</w:t>
            </w:r>
            <w:r w:rsidR="007860C7">
              <w:rPr>
                <w:b/>
              </w:rPr>
              <w:t>143.0</w:t>
            </w:r>
            <w:r>
              <w:rPr>
                <w:b/>
              </w:rPr>
              <w:t xml:space="preserve"> </w:t>
            </w:r>
            <w:r w:rsidR="00850B2F" w:rsidRPr="00554469">
              <w:rPr>
                <w:b/>
              </w:rPr>
              <w:t>billion</w:t>
            </w:r>
          </w:p>
        </w:tc>
      </w:tr>
    </w:tbl>
    <w:p w:rsidR="00C04DC1" w:rsidRDefault="00C04DC1" w:rsidP="00C04DC1">
      <w:pPr>
        <w:rPr>
          <w:rFonts w:cs="Arial"/>
          <w:color w:val="666699"/>
          <w:sz w:val="24"/>
          <w:szCs w:val="26"/>
        </w:rPr>
      </w:pPr>
      <w:bookmarkStart w:id="81" w:name="_Toc290646634"/>
      <w:bookmarkStart w:id="82" w:name="_Toc290647164"/>
      <w:bookmarkStart w:id="83" w:name="_Toc290647211"/>
      <w:bookmarkStart w:id="84" w:name="_Toc292468944"/>
      <w:r>
        <w:br w:type="page"/>
      </w:r>
    </w:p>
    <w:p w:rsidR="00DF3F08" w:rsidRDefault="00850B2F" w:rsidP="00DF3F08">
      <w:pPr>
        <w:pStyle w:val="Heading3"/>
      </w:pPr>
      <w:bookmarkStart w:id="85" w:name="_Toc497136999"/>
      <w:r>
        <w:lastRenderedPageBreak/>
        <w:t>GDP measured using the E</w:t>
      </w:r>
      <w:r w:rsidR="00DF3F08">
        <w:t>xpenditure approach</w:t>
      </w:r>
      <w:bookmarkEnd w:id="81"/>
      <w:bookmarkEnd w:id="82"/>
      <w:bookmarkEnd w:id="83"/>
      <w:bookmarkEnd w:id="84"/>
      <w:bookmarkEnd w:id="85"/>
    </w:p>
    <w:p w:rsidR="00DF3F08" w:rsidRDefault="00DF3F08" w:rsidP="00AE2BEB">
      <w:pPr>
        <w:pStyle w:val="BodyText"/>
      </w:pPr>
      <w:r w:rsidRPr="00DF3F08">
        <w:t>GDP</w:t>
      </w:r>
      <w:r w:rsidR="00172DB7">
        <w:t xml:space="preserve"> (Gross Domestic Product at Market Prices)</w:t>
      </w:r>
      <w:r w:rsidRPr="00DF3F08">
        <w:t xml:space="preserve"> is usually defined/calculated as the sum of total final demand less total imports.</w:t>
      </w:r>
    </w:p>
    <w:p w:rsidR="00172DB7" w:rsidRDefault="00172DB7" w:rsidP="00AE2BEB">
      <w:pPr>
        <w:pStyle w:val="BodyText"/>
      </w:pPr>
      <w:r>
        <w:t xml:space="preserve">Total </w:t>
      </w:r>
      <w:r w:rsidR="00850B2F">
        <w:t>domestic</w:t>
      </w:r>
      <w:r>
        <w:t xml:space="preserve"> demand comprises purchases (including all taxes that may apply) by: Households, Non-profit institutions, Tourists (or rather expenditure by non-residents), and Government.  </w:t>
      </w:r>
      <w:r w:rsidR="00850B2F">
        <w:t>Gross fixed capital formation, c</w:t>
      </w:r>
      <w:r>
        <w:t>hanges in inventories and valuables are also included.</w:t>
      </w:r>
    </w:p>
    <w:p w:rsidR="00172DB7" w:rsidRDefault="00172DB7" w:rsidP="00AE2BEB">
      <w:pPr>
        <w:pStyle w:val="BodyText"/>
      </w:pPr>
      <w:r>
        <w:t xml:space="preserve">Final demand also includes the value of exports (which from a Scottish perspective include exports or goods and services to the rest of UK). Imports includes goods and services imported from the rest of UK and will also include expenditure by Scottish </w:t>
      </w:r>
      <w:r w:rsidR="008A3857">
        <w:t>residents</w:t>
      </w:r>
      <w:r>
        <w:t xml:space="preserve"> outside Scotland.</w:t>
      </w:r>
    </w:p>
    <w:p w:rsidR="00172DB7" w:rsidRDefault="00172DB7" w:rsidP="00AE2BEB">
      <w:pPr>
        <w:pStyle w:val="BodyText"/>
      </w:pPr>
      <w:r>
        <w:t>The following shows the calculation of GDP (expenditure approach) for Scotland in</w:t>
      </w:r>
      <w:r w:rsidR="0070447D">
        <w:t xml:space="preserve"> 201</w:t>
      </w:r>
      <w:r w:rsidR="0082056F">
        <w:t>4</w:t>
      </w:r>
      <w:r>
        <w:t>:</w:t>
      </w:r>
    </w:p>
    <w:tbl>
      <w:tblPr>
        <w:tblW w:w="8460" w:type="dxa"/>
        <w:tblInd w:w="648" w:type="dxa"/>
        <w:tblLook w:val="0000" w:firstRow="0" w:lastRow="0" w:firstColumn="0" w:lastColumn="0" w:noHBand="0" w:noVBand="0"/>
      </w:tblPr>
      <w:tblGrid>
        <w:gridCol w:w="5940"/>
        <w:gridCol w:w="2520"/>
      </w:tblGrid>
      <w:tr w:rsidR="00902629" w:rsidRPr="00902629" w:rsidTr="008A3857">
        <w:trPr>
          <w:trHeight w:hRule="exact" w:val="284"/>
        </w:trPr>
        <w:tc>
          <w:tcPr>
            <w:tcW w:w="5940" w:type="dxa"/>
            <w:tcBorders>
              <w:top w:val="nil"/>
              <w:left w:val="nil"/>
              <w:bottom w:val="nil"/>
              <w:right w:val="nil"/>
            </w:tcBorders>
            <w:shd w:val="clear" w:color="auto" w:fill="auto"/>
            <w:noWrap/>
            <w:vAlign w:val="bottom"/>
          </w:tcPr>
          <w:p w:rsidR="00902629" w:rsidRPr="00902629" w:rsidRDefault="008A3857" w:rsidP="00902629">
            <w:pPr>
              <w:rPr>
                <w:rFonts w:cs="Arial"/>
                <w:szCs w:val="20"/>
              </w:rPr>
            </w:pPr>
            <w:r>
              <w:rPr>
                <w:rFonts w:cs="Arial"/>
                <w:szCs w:val="20"/>
              </w:rPr>
              <w:t>Household final consumption (including NPISH)</w:t>
            </w:r>
          </w:p>
        </w:tc>
        <w:tc>
          <w:tcPr>
            <w:tcW w:w="2520" w:type="dxa"/>
            <w:tcBorders>
              <w:top w:val="nil"/>
              <w:left w:val="nil"/>
              <w:bottom w:val="nil"/>
              <w:right w:val="nil"/>
            </w:tcBorders>
            <w:shd w:val="clear" w:color="auto" w:fill="auto"/>
            <w:noWrap/>
            <w:vAlign w:val="bottom"/>
          </w:tcPr>
          <w:p w:rsidR="00902629" w:rsidRPr="00902629" w:rsidRDefault="0070447D" w:rsidP="0082056F">
            <w:pPr>
              <w:jc w:val="right"/>
              <w:rPr>
                <w:rFonts w:cs="Arial"/>
                <w:szCs w:val="20"/>
              </w:rPr>
            </w:pPr>
            <w:r>
              <w:rPr>
                <w:rFonts w:cs="Arial"/>
                <w:szCs w:val="20"/>
              </w:rPr>
              <w:t>£</w:t>
            </w:r>
            <w:r w:rsidR="0082056F">
              <w:rPr>
                <w:rFonts w:cs="Arial"/>
                <w:szCs w:val="20"/>
              </w:rPr>
              <w:t>93</w:t>
            </w:r>
            <w:r w:rsidR="00A622AC">
              <w:rPr>
                <w:rFonts w:cs="Arial"/>
                <w:szCs w:val="20"/>
              </w:rPr>
              <w:t>.</w:t>
            </w:r>
            <w:r w:rsidR="0082056F">
              <w:rPr>
                <w:rFonts w:cs="Arial"/>
                <w:szCs w:val="20"/>
              </w:rPr>
              <w:t>8</w:t>
            </w:r>
            <w:r>
              <w:rPr>
                <w:rFonts w:cs="Arial"/>
                <w:szCs w:val="20"/>
              </w:rPr>
              <w:t xml:space="preserve"> </w:t>
            </w:r>
            <w:r w:rsidR="00902629">
              <w:rPr>
                <w:rFonts w:cs="Arial"/>
                <w:szCs w:val="20"/>
              </w:rPr>
              <w:t>billion</w:t>
            </w:r>
          </w:p>
        </w:tc>
      </w:tr>
      <w:tr w:rsidR="00902629" w:rsidRPr="00902629" w:rsidTr="008A3857">
        <w:trPr>
          <w:trHeight w:hRule="exact" w:val="284"/>
        </w:trPr>
        <w:tc>
          <w:tcPr>
            <w:tcW w:w="5940" w:type="dxa"/>
            <w:tcBorders>
              <w:top w:val="nil"/>
              <w:left w:val="nil"/>
              <w:bottom w:val="nil"/>
              <w:right w:val="nil"/>
            </w:tcBorders>
            <w:shd w:val="clear" w:color="auto" w:fill="auto"/>
            <w:noWrap/>
            <w:vAlign w:val="bottom"/>
          </w:tcPr>
          <w:p w:rsidR="00902629" w:rsidRPr="00902629" w:rsidRDefault="008A3857" w:rsidP="00902629">
            <w:pPr>
              <w:rPr>
                <w:rFonts w:cs="Arial"/>
                <w:szCs w:val="20"/>
              </w:rPr>
            </w:pPr>
            <w:r>
              <w:rPr>
                <w:rFonts w:cs="Arial"/>
                <w:szCs w:val="20"/>
              </w:rPr>
              <w:t xml:space="preserve">General </w:t>
            </w:r>
            <w:r w:rsidR="00902629" w:rsidRPr="00902629">
              <w:rPr>
                <w:rFonts w:cs="Arial"/>
                <w:szCs w:val="20"/>
              </w:rPr>
              <w:t>Government</w:t>
            </w:r>
            <w:r>
              <w:rPr>
                <w:rFonts w:cs="Arial"/>
                <w:szCs w:val="20"/>
              </w:rPr>
              <w:t xml:space="preserve"> final consumption</w:t>
            </w:r>
          </w:p>
        </w:tc>
        <w:tc>
          <w:tcPr>
            <w:tcW w:w="2520" w:type="dxa"/>
            <w:tcBorders>
              <w:top w:val="nil"/>
              <w:left w:val="nil"/>
              <w:bottom w:val="nil"/>
              <w:right w:val="nil"/>
            </w:tcBorders>
            <w:shd w:val="clear" w:color="auto" w:fill="auto"/>
            <w:noWrap/>
            <w:vAlign w:val="bottom"/>
          </w:tcPr>
          <w:p w:rsidR="00902629" w:rsidRPr="00902629" w:rsidRDefault="0070447D" w:rsidP="00A622AC">
            <w:pPr>
              <w:jc w:val="right"/>
              <w:rPr>
                <w:rFonts w:cs="Arial"/>
                <w:szCs w:val="20"/>
              </w:rPr>
            </w:pPr>
            <w:r>
              <w:rPr>
                <w:rFonts w:cs="Arial"/>
                <w:szCs w:val="20"/>
              </w:rPr>
              <w:t>£</w:t>
            </w:r>
            <w:r w:rsidR="0082056F">
              <w:rPr>
                <w:rFonts w:cs="Arial"/>
                <w:szCs w:val="20"/>
              </w:rPr>
              <w:t>33.4</w:t>
            </w:r>
            <w:r>
              <w:rPr>
                <w:rFonts w:cs="Arial"/>
                <w:szCs w:val="20"/>
              </w:rPr>
              <w:t xml:space="preserve"> </w:t>
            </w:r>
            <w:r w:rsidR="00902629">
              <w:rPr>
                <w:rFonts w:cs="Arial"/>
                <w:szCs w:val="20"/>
              </w:rPr>
              <w:t>billion</w:t>
            </w:r>
          </w:p>
        </w:tc>
      </w:tr>
      <w:tr w:rsidR="00902629" w:rsidRPr="00902629" w:rsidTr="008A3857">
        <w:trPr>
          <w:trHeight w:hRule="exact" w:val="284"/>
        </w:trPr>
        <w:tc>
          <w:tcPr>
            <w:tcW w:w="5940" w:type="dxa"/>
            <w:tcBorders>
              <w:top w:val="nil"/>
              <w:left w:val="nil"/>
              <w:bottom w:val="nil"/>
              <w:right w:val="nil"/>
            </w:tcBorders>
            <w:shd w:val="clear" w:color="auto" w:fill="auto"/>
            <w:noWrap/>
            <w:vAlign w:val="bottom"/>
          </w:tcPr>
          <w:p w:rsidR="00902629" w:rsidRPr="00902629" w:rsidRDefault="00902629" w:rsidP="00902629">
            <w:pPr>
              <w:rPr>
                <w:rFonts w:cs="Arial"/>
                <w:szCs w:val="20"/>
              </w:rPr>
            </w:pPr>
            <w:r w:rsidRPr="00902629">
              <w:rPr>
                <w:rFonts w:cs="Arial"/>
                <w:szCs w:val="20"/>
              </w:rPr>
              <w:t>Gross capital formation</w:t>
            </w:r>
          </w:p>
        </w:tc>
        <w:tc>
          <w:tcPr>
            <w:tcW w:w="2520" w:type="dxa"/>
            <w:tcBorders>
              <w:top w:val="nil"/>
              <w:left w:val="nil"/>
              <w:bottom w:val="nil"/>
              <w:right w:val="nil"/>
            </w:tcBorders>
            <w:shd w:val="clear" w:color="auto" w:fill="auto"/>
            <w:noWrap/>
            <w:vAlign w:val="bottom"/>
          </w:tcPr>
          <w:p w:rsidR="00902629" w:rsidRPr="00902629" w:rsidRDefault="0070447D" w:rsidP="00A622AC">
            <w:pPr>
              <w:jc w:val="right"/>
              <w:rPr>
                <w:rFonts w:cs="Arial"/>
                <w:szCs w:val="20"/>
              </w:rPr>
            </w:pPr>
            <w:r>
              <w:rPr>
                <w:rFonts w:cs="Arial"/>
                <w:szCs w:val="20"/>
              </w:rPr>
              <w:t>£</w:t>
            </w:r>
            <w:r w:rsidR="0082056F">
              <w:rPr>
                <w:rFonts w:cs="Arial"/>
                <w:szCs w:val="20"/>
              </w:rPr>
              <w:t>25.5</w:t>
            </w:r>
            <w:r>
              <w:rPr>
                <w:rFonts w:cs="Arial"/>
                <w:szCs w:val="20"/>
              </w:rPr>
              <w:t xml:space="preserve"> </w:t>
            </w:r>
            <w:r w:rsidR="00902629">
              <w:rPr>
                <w:rFonts w:cs="Arial"/>
                <w:szCs w:val="20"/>
              </w:rPr>
              <w:t>billion</w:t>
            </w:r>
          </w:p>
        </w:tc>
      </w:tr>
      <w:tr w:rsidR="00902629" w:rsidRPr="00902629" w:rsidTr="008A3857">
        <w:trPr>
          <w:trHeight w:hRule="exact" w:val="284"/>
        </w:trPr>
        <w:tc>
          <w:tcPr>
            <w:tcW w:w="5940" w:type="dxa"/>
            <w:tcBorders>
              <w:top w:val="nil"/>
              <w:left w:val="nil"/>
              <w:bottom w:val="single" w:sz="4" w:space="0" w:color="auto"/>
              <w:right w:val="nil"/>
            </w:tcBorders>
            <w:shd w:val="clear" w:color="auto" w:fill="auto"/>
            <w:noWrap/>
            <w:vAlign w:val="bottom"/>
          </w:tcPr>
          <w:p w:rsidR="00902629" w:rsidRPr="00902629" w:rsidRDefault="00902629" w:rsidP="00902629">
            <w:pPr>
              <w:rPr>
                <w:rFonts w:cs="Arial"/>
                <w:szCs w:val="20"/>
              </w:rPr>
            </w:pPr>
            <w:r>
              <w:rPr>
                <w:rFonts w:cs="Arial"/>
                <w:szCs w:val="20"/>
              </w:rPr>
              <w:t>Exports</w:t>
            </w:r>
          </w:p>
        </w:tc>
        <w:tc>
          <w:tcPr>
            <w:tcW w:w="2520" w:type="dxa"/>
            <w:tcBorders>
              <w:top w:val="nil"/>
              <w:left w:val="nil"/>
              <w:bottom w:val="single" w:sz="4" w:space="0" w:color="auto"/>
              <w:right w:val="nil"/>
            </w:tcBorders>
            <w:shd w:val="clear" w:color="auto" w:fill="auto"/>
            <w:noWrap/>
            <w:vAlign w:val="bottom"/>
          </w:tcPr>
          <w:p w:rsidR="00902629" w:rsidRPr="00902629" w:rsidRDefault="0070447D" w:rsidP="00A622AC">
            <w:pPr>
              <w:jc w:val="right"/>
              <w:rPr>
                <w:rFonts w:cs="Arial"/>
                <w:szCs w:val="20"/>
              </w:rPr>
            </w:pPr>
            <w:r>
              <w:rPr>
                <w:rFonts w:cs="Arial"/>
                <w:szCs w:val="20"/>
              </w:rPr>
              <w:t>£</w:t>
            </w:r>
            <w:r w:rsidR="000E3F81">
              <w:rPr>
                <w:rFonts w:cs="Arial"/>
                <w:szCs w:val="20"/>
              </w:rPr>
              <w:t>75.6</w:t>
            </w:r>
            <w:r>
              <w:rPr>
                <w:rFonts w:cs="Arial"/>
                <w:szCs w:val="20"/>
              </w:rPr>
              <w:t xml:space="preserve"> </w:t>
            </w:r>
            <w:r w:rsidR="00902629">
              <w:rPr>
                <w:rFonts w:cs="Arial"/>
                <w:szCs w:val="20"/>
              </w:rPr>
              <w:t>billion</w:t>
            </w:r>
          </w:p>
        </w:tc>
      </w:tr>
      <w:tr w:rsidR="00902629" w:rsidRPr="008A3857" w:rsidTr="008A3857">
        <w:trPr>
          <w:trHeight w:hRule="exact" w:val="284"/>
        </w:trPr>
        <w:tc>
          <w:tcPr>
            <w:tcW w:w="5940" w:type="dxa"/>
            <w:tcBorders>
              <w:top w:val="single" w:sz="4" w:space="0" w:color="auto"/>
              <w:left w:val="nil"/>
              <w:bottom w:val="single" w:sz="12" w:space="0" w:color="auto"/>
              <w:right w:val="nil"/>
            </w:tcBorders>
            <w:shd w:val="clear" w:color="auto" w:fill="auto"/>
            <w:noWrap/>
            <w:vAlign w:val="bottom"/>
          </w:tcPr>
          <w:p w:rsidR="00902629" w:rsidRPr="008A3857" w:rsidRDefault="00902629" w:rsidP="00902629">
            <w:pPr>
              <w:rPr>
                <w:rFonts w:cs="Arial"/>
                <w:b/>
                <w:szCs w:val="20"/>
              </w:rPr>
            </w:pPr>
            <w:r w:rsidRPr="008A3857">
              <w:rPr>
                <w:rFonts w:cs="Arial"/>
                <w:b/>
                <w:szCs w:val="20"/>
              </w:rPr>
              <w:t>Total final demand (a)</w:t>
            </w:r>
          </w:p>
        </w:tc>
        <w:tc>
          <w:tcPr>
            <w:tcW w:w="2520" w:type="dxa"/>
            <w:tcBorders>
              <w:top w:val="single" w:sz="4" w:space="0" w:color="auto"/>
              <w:left w:val="nil"/>
              <w:bottom w:val="single" w:sz="12" w:space="0" w:color="auto"/>
              <w:right w:val="nil"/>
            </w:tcBorders>
            <w:shd w:val="clear" w:color="auto" w:fill="auto"/>
            <w:noWrap/>
            <w:vAlign w:val="bottom"/>
          </w:tcPr>
          <w:p w:rsidR="00902629" w:rsidRPr="008A3857" w:rsidRDefault="0070447D" w:rsidP="00A622AC">
            <w:pPr>
              <w:jc w:val="right"/>
              <w:rPr>
                <w:rFonts w:cs="Arial"/>
                <w:b/>
                <w:szCs w:val="20"/>
              </w:rPr>
            </w:pPr>
            <w:r>
              <w:rPr>
                <w:rFonts w:cs="Arial"/>
                <w:b/>
                <w:szCs w:val="20"/>
              </w:rPr>
              <w:t>£</w:t>
            </w:r>
            <w:r w:rsidR="000E3F81" w:rsidRPr="00865341">
              <w:rPr>
                <w:rFonts w:cs="Arial"/>
                <w:b/>
                <w:szCs w:val="20"/>
              </w:rPr>
              <w:t>228.4</w:t>
            </w:r>
            <w:r w:rsidRPr="00865341">
              <w:rPr>
                <w:rFonts w:cs="Arial"/>
                <w:b/>
                <w:szCs w:val="20"/>
              </w:rPr>
              <w:t xml:space="preserve"> </w:t>
            </w:r>
            <w:r w:rsidR="00902629" w:rsidRPr="00865341">
              <w:rPr>
                <w:rFonts w:cs="Arial"/>
                <w:b/>
                <w:szCs w:val="20"/>
              </w:rPr>
              <w:t>billion</w:t>
            </w:r>
          </w:p>
        </w:tc>
      </w:tr>
      <w:tr w:rsidR="00902629" w:rsidRPr="00902629" w:rsidTr="008A3857">
        <w:trPr>
          <w:trHeight w:hRule="exact" w:val="284"/>
        </w:trPr>
        <w:tc>
          <w:tcPr>
            <w:tcW w:w="5940" w:type="dxa"/>
            <w:tcBorders>
              <w:top w:val="single" w:sz="12" w:space="0" w:color="auto"/>
              <w:left w:val="nil"/>
              <w:bottom w:val="single" w:sz="4" w:space="0" w:color="auto"/>
              <w:right w:val="nil"/>
            </w:tcBorders>
            <w:shd w:val="clear" w:color="auto" w:fill="auto"/>
            <w:noWrap/>
            <w:vAlign w:val="bottom"/>
          </w:tcPr>
          <w:p w:rsidR="00902629" w:rsidRPr="00902629" w:rsidRDefault="00902629" w:rsidP="00902629">
            <w:pPr>
              <w:rPr>
                <w:rFonts w:cs="Arial"/>
                <w:szCs w:val="20"/>
              </w:rPr>
            </w:pPr>
            <w:r w:rsidRPr="00902629">
              <w:rPr>
                <w:rFonts w:cs="Arial"/>
                <w:szCs w:val="20"/>
              </w:rPr>
              <w:t>Total imports (b)</w:t>
            </w:r>
          </w:p>
        </w:tc>
        <w:tc>
          <w:tcPr>
            <w:tcW w:w="2520" w:type="dxa"/>
            <w:tcBorders>
              <w:top w:val="single" w:sz="12" w:space="0" w:color="auto"/>
              <w:left w:val="nil"/>
              <w:bottom w:val="single" w:sz="4" w:space="0" w:color="auto"/>
              <w:right w:val="nil"/>
            </w:tcBorders>
            <w:shd w:val="clear" w:color="auto" w:fill="auto"/>
            <w:noWrap/>
            <w:vAlign w:val="bottom"/>
          </w:tcPr>
          <w:p w:rsidR="00902629" w:rsidRPr="00902629" w:rsidRDefault="0070447D" w:rsidP="000E3F81">
            <w:pPr>
              <w:jc w:val="right"/>
              <w:rPr>
                <w:rFonts w:cs="Arial"/>
                <w:szCs w:val="20"/>
              </w:rPr>
            </w:pPr>
            <w:r>
              <w:rPr>
                <w:rFonts w:cs="Arial"/>
                <w:szCs w:val="20"/>
              </w:rPr>
              <w:t>£</w:t>
            </w:r>
            <w:r w:rsidR="000E3F81">
              <w:rPr>
                <w:rFonts w:cs="Arial"/>
                <w:szCs w:val="20"/>
              </w:rPr>
              <w:t>85.4</w:t>
            </w:r>
            <w:r>
              <w:rPr>
                <w:rFonts w:cs="Arial"/>
                <w:szCs w:val="20"/>
              </w:rPr>
              <w:t xml:space="preserve"> </w:t>
            </w:r>
            <w:r w:rsidR="00902629">
              <w:rPr>
                <w:rFonts w:cs="Arial"/>
                <w:szCs w:val="20"/>
              </w:rPr>
              <w:t>billion</w:t>
            </w:r>
          </w:p>
        </w:tc>
      </w:tr>
      <w:tr w:rsidR="00902629" w:rsidRPr="008A3857" w:rsidTr="008A3857">
        <w:trPr>
          <w:trHeight w:hRule="exact" w:val="284"/>
        </w:trPr>
        <w:tc>
          <w:tcPr>
            <w:tcW w:w="5940" w:type="dxa"/>
            <w:tcBorders>
              <w:top w:val="single" w:sz="4" w:space="0" w:color="auto"/>
              <w:left w:val="nil"/>
              <w:bottom w:val="single" w:sz="12" w:space="0" w:color="auto"/>
              <w:right w:val="nil"/>
            </w:tcBorders>
            <w:shd w:val="clear" w:color="auto" w:fill="auto"/>
            <w:noWrap/>
            <w:vAlign w:val="bottom"/>
          </w:tcPr>
          <w:p w:rsidR="00902629" w:rsidRPr="008A3857" w:rsidRDefault="00902629" w:rsidP="00902629">
            <w:pPr>
              <w:rPr>
                <w:rFonts w:cs="Arial"/>
                <w:b/>
                <w:szCs w:val="20"/>
              </w:rPr>
            </w:pPr>
            <w:r w:rsidRPr="008A3857">
              <w:rPr>
                <w:rFonts w:cs="Arial"/>
                <w:b/>
                <w:szCs w:val="20"/>
              </w:rPr>
              <w:t>G</w:t>
            </w:r>
            <w:r w:rsidR="008A3857">
              <w:rPr>
                <w:rFonts w:cs="Arial"/>
                <w:b/>
                <w:szCs w:val="20"/>
              </w:rPr>
              <w:t xml:space="preserve">ross </w:t>
            </w:r>
            <w:r w:rsidRPr="008A3857">
              <w:rPr>
                <w:rFonts w:cs="Arial"/>
                <w:b/>
                <w:szCs w:val="20"/>
              </w:rPr>
              <w:t>D</w:t>
            </w:r>
            <w:r w:rsidR="008A3857">
              <w:rPr>
                <w:rFonts w:cs="Arial"/>
                <w:b/>
                <w:szCs w:val="20"/>
              </w:rPr>
              <w:t xml:space="preserve">omestic </w:t>
            </w:r>
            <w:r w:rsidRPr="008A3857">
              <w:rPr>
                <w:rFonts w:cs="Arial"/>
                <w:b/>
                <w:szCs w:val="20"/>
              </w:rPr>
              <w:t>P</w:t>
            </w:r>
            <w:r w:rsidR="008A3857">
              <w:rPr>
                <w:rFonts w:cs="Arial"/>
                <w:b/>
                <w:szCs w:val="20"/>
              </w:rPr>
              <w:t>roduct</w:t>
            </w:r>
            <w:r w:rsidRPr="008A3857">
              <w:rPr>
                <w:rFonts w:cs="Arial"/>
                <w:b/>
                <w:szCs w:val="20"/>
              </w:rPr>
              <w:t xml:space="preserve"> at market prices (a-b)</w:t>
            </w:r>
          </w:p>
        </w:tc>
        <w:tc>
          <w:tcPr>
            <w:tcW w:w="2520" w:type="dxa"/>
            <w:tcBorders>
              <w:top w:val="single" w:sz="4" w:space="0" w:color="auto"/>
              <w:left w:val="nil"/>
              <w:bottom w:val="single" w:sz="12" w:space="0" w:color="auto"/>
              <w:right w:val="nil"/>
            </w:tcBorders>
            <w:shd w:val="clear" w:color="auto" w:fill="auto"/>
            <w:noWrap/>
            <w:vAlign w:val="bottom"/>
          </w:tcPr>
          <w:p w:rsidR="00902629" w:rsidRPr="008A3857" w:rsidRDefault="0070447D" w:rsidP="00A622AC">
            <w:pPr>
              <w:jc w:val="right"/>
              <w:rPr>
                <w:rFonts w:cs="Arial"/>
                <w:b/>
                <w:szCs w:val="20"/>
              </w:rPr>
            </w:pPr>
            <w:r>
              <w:rPr>
                <w:rFonts w:cs="Arial"/>
                <w:b/>
                <w:szCs w:val="20"/>
              </w:rPr>
              <w:t>£</w:t>
            </w:r>
            <w:r w:rsidR="000E3F81">
              <w:rPr>
                <w:rFonts w:cs="Arial"/>
                <w:b/>
                <w:szCs w:val="20"/>
              </w:rPr>
              <w:t>143.0</w:t>
            </w:r>
            <w:r>
              <w:rPr>
                <w:rFonts w:cs="Arial"/>
                <w:b/>
                <w:szCs w:val="20"/>
              </w:rPr>
              <w:t xml:space="preserve"> </w:t>
            </w:r>
            <w:r w:rsidR="00902629" w:rsidRPr="008A3857">
              <w:rPr>
                <w:rFonts w:cs="Arial"/>
                <w:b/>
                <w:szCs w:val="20"/>
              </w:rPr>
              <w:t>billion</w:t>
            </w:r>
          </w:p>
        </w:tc>
      </w:tr>
    </w:tbl>
    <w:p w:rsidR="00AE2BEB" w:rsidRDefault="00AE2BEB" w:rsidP="00AE2BEB">
      <w:pPr>
        <w:pStyle w:val="BodyText"/>
      </w:pPr>
    </w:p>
    <w:p w:rsidR="00172DB7" w:rsidRDefault="001B1906" w:rsidP="00AE2BEB">
      <w:pPr>
        <w:pStyle w:val="BodyText"/>
      </w:pPr>
      <w:r>
        <w:t>The calculation of GDP in the manner shown above leads to an estimate of GDP in market prices, where the products being bought by final consumers are valued in the prices paid by these consumers – as opposed to the basic prices used i</w:t>
      </w:r>
      <w:r w:rsidR="008A3857">
        <w:t>n the previous two calculations.</w:t>
      </w:r>
    </w:p>
    <w:p w:rsidR="001B1906" w:rsidRDefault="001B1906" w:rsidP="00AE2BEB">
      <w:pPr>
        <w:pStyle w:val="BodyText"/>
      </w:pPr>
      <w:r>
        <w:t>Removing VAT and other taxes and subsidies on products allows us to convert this expenditure estimate of GDP into a basic price measure.</w:t>
      </w:r>
    </w:p>
    <w:tbl>
      <w:tblPr>
        <w:tblW w:w="8460" w:type="dxa"/>
        <w:tblInd w:w="648" w:type="dxa"/>
        <w:tblLook w:val="0000" w:firstRow="0" w:lastRow="0" w:firstColumn="0" w:lastColumn="0" w:noHBand="0" w:noVBand="0"/>
      </w:tblPr>
      <w:tblGrid>
        <w:gridCol w:w="5940"/>
        <w:gridCol w:w="2520"/>
      </w:tblGrid>
      <w:tr w:rsidR="001B1906" w:rsidRPr="001B1906" w:rsidTr="008A3857">
        <w:trPr>
          <w:trHeight w:hRule="exact" w:val="284"/>
        </w:trPr>
        <w:tc>
          <w:tcPr>
            <w:tcW w:w="5940" w:type="dxa"/>
            <w:tcBorders>
              <w:top w:val="nil"/>
              <w:left w:val="nil"/>
              <w:bottom w:val="nil"/>
              <w:right w:val="nil"/>
            </w:tcBorders>
            <w:shd w:val="clear" w:color="auto" w:fill="auto"/>
            <w:noWrap/>
            <w:vAlign w:val="bottom"/>
          </w:tcPr>
          <w:p w:rsidR="001B1906" w:rsidRPr="001B1906" w:rsidRDefault="00A622AC" w:rsidP="001B1906">
            <w:pPr>
              <w:rPr>
                <w:rFonts w:cs="Arial"/>
                <w:szCs w:val="20"/>
              </w:rPr>
            </w:pPr>
            <w:r>
              <w:rPr>
                <w:rFonts w:cs="Arial"/>
                <w:szCs w:val="20"/>
              </w:rPr>
              <w:t>GDP (a) at market prices</w:t>
            </w:r>
          </w:p>
        </w:tc>
        <w:tc>
          <w:tcPr>
            <w:tcW w:w="2520" w:type="dxa"/>
            <w:tcBorders>
              <w:top w:val="nil"/>
              <w:left w:val="nil"/>
              <w:bottom w:val="nil"/>
              <w:right w:val="nil"/>
            </w:tcBorders>
            <w:shd w:val="clear" w:color="auto" w:fill="auto"/>
            <w:noWrap/>
            <w:vAlign w:val="bottom"/>
          </w:tcPr>
          <w:p w:rsidR="001B1906" w:rsidRPr="001B1906" w:rsidRDefault="00C50B40" w:rsidP="00A622AC">
            <w:pPr>
              <w:jc w:val="right"/>
              <w:rPr>
                <w:rFonts w:cs="Arial"/>
                <w:szCs w:val="20"/>
              </w:rPr>
            </w:pPr>
            <w:r>
              <w:rPr>
                <w:rFonts w:cs="Arial"/>
                <w:szCs w:val="20"/>
              </w:rPr>
              <w:t>£</w:t>
            </w:r>
            <w:r w:rsidR="000E3F81">
              <w:rPr>
                <w:rFonts w:cs="Arial"/>
                <w:szCs w:val="20"/>
              </w:rPr>
              <w:t>143.0</w:t>
            </w:r>
            <w:r>
              <w:rPr>
                <w:rFonts w:cs="Arial"/>
                <w:szCs w:val="20"/>
              </w:rPr>
              <w:t xml:space="preserve"> </w:t>
            </w:r>
            <w:r w:rsidR="001B1906">
              <w:rPr>
                <w:rFonts w:cs="Arial"/>
                <w:szCs w:val="20"/>
              </w:rPr>
              <w:t>billion</w:t>
            </w:r>
          </w:p>
        </w:tc>
      </w:tr>
      <w:tr w:rsidR="001B1906" w:rsidRPr="001B1906" w:rsidTr="008A3857">
        <w:trPr>
          <w:trHeight w:hRule="exact" w:val="284"/>
        </w:trPr>
        <w:tc>
          <w:tcPr>
            <w:tcW w:w="5940" w:type="dxa"/>
            <w:tcBorders>
              <w:top w:val="nil"/>
              <w:left w:val="nil"/>
              <w:bottom w:val="single" w:sz="4" w:space="0" w:color="auto"/>
              <w:right w:val="nil"/>
            </w:tcBorders>
            <w:shd w:val="clear" w:color="auto" w:fill="auto"/>
            <w:noWrap/>
            <w:vAlign w:val="bottom"/>
          </w:tcPr>
          <w:p w:rsidR="001B1906" w:rsidRPr="001B1906" w:rsidRDefault="001B1906" w:rsidP="001B1906">
            <w:pPr>
              <w:rPr>
                <w:rFonts w:cs="Arial"/>
                <w:szCs w:val="20"/>
              </w:rPr>
            </w:pPr>
            <w:r w:rsidRPr="001B1906">
              <w:rPr>
                <w:rFonts w:cs="Arial"/>
                <w:szCs w:val="20"/>
              </w:rPr>
              <w:t>Taxes</w:t>
            </w:r>
            <w:r>
              <w:rPr>
                <w:rFonts w:cs="Arial"/>
                <w:szCs w:val="20"/>
              </w:rPr>
              <w:t>,</w:t>
            </w:r>
            <w:r w:rsidRPr="001B1906">
              <w:rPr>
                <w:rFonts w:cs="Arial"/>
                <w:szCs w:val="20"/>
              </w:rPr>
              <w:t xml:space="preserve"> less subsidies</w:t>
            </w:r>
            <w:r>
              <w:rPr>
                <w:rFonts w:cs="Arial"/>
                <w:szCs w:val="20"/>
              </w:rPr>
              <w:t>,</w:t>
            </w:r>
            <w:r w:rsidRPr="001B1906">
              <w:rPr>
                <w:rFonts w:cs="Arial"/>
                <w:szCs w:val="20"/>
              </w:rPr>
              <w:t xml:space="preserve"> on products (b)</w:t>
            </w:r>
          </w:p>
        </w:tc>
        <w:tc>
          <w:tcPr>
            <w:tcW w:w="2520" w:type="dxa"/>
            <w:tcBorders>
              <w:top w:val="nil"/>
              <w:left w:val="nil"/>
              <w:bottom w:val="single" w:sz="4" w:space="0" w:color="auto"/>
              <w:right w:val="nil"/>
            </w:tcBorders>
            <w:shd w:val="clear" w:color="auto" w:fill="auto"/>
            <w:noWrap/>
            <w:vAlign w:val="bottom"/>
          </w:tcPr>
          <w:p w:rsidR="001B1906" w:rsidRPr="001B1906" w:rsidRDefault="00C50B40" w:rsidP="00A622AC">
            <w:pPr>
              <w:jc w:val="right"/>
              <w:rPr>
                <w:rFonts w:cs="Arial"/>
                <w:szCs w:val="20"/>
              </w:rPr>
            </w:pPr>
            <w:r>
              <w:rPr>
                <w:rFonts w:cs="Arial"/>
                <w:szCs w:val="20"/>
              </w:rPr>
              <w:t>£</w:t>
            </w:r>
            <w:r w:rsidR="000E3F81">
              <w:rPr>
                <w:rFonts w:cs="Arial"/>
                <w:szCs w:val="20"/>
              </w:rPr>
              <w:t>17.0</w:t>
            </w:r>
            <w:r>
              <w:rPr>
                <w:rFonts w:cs="Arial"/>
                <w:szCs w:val="20"/>
              </w:rPr>
              <w:t xml:space="preserve"> </w:t>
            </w:r>
            <w:r w:rsidR="001B1906">
              <w:rPr>
                <w:rFonts w:cs="Arial"/>
                <w:szCs w:val="20"/>
              </w:rPr>
              <w:t>billion</w:t>
            </w:r>
          </w:p>
        </w:tc>
      </w:tr>
      <w:tr w:rsidR="001B1906" w:rsidRPr="008A3857" w:rsidTr="008A3857">
        <w:trPr>
          <w:trHeight w:hRule="exact" w:val="284"/>
        </w:trPr>
        <w:tc>
          <w:tcPr>
            <w:tcW w:w="5940" w:type="dxa"/>
            <w:tcBorders>
              <w:top w:val="single" w:sz="4" w:space="0" w:color="auto"/>
              <w:left w:val="nil"/>
              <w:bottom w:val="single" w:sz="4" w:space="0" w:color="auto"/>
              <w:right w:val="nil"/>
            </w:tcBorders>
            <w:shd w:val="clear" w:color="auto" w:fill="auto"/>
            <w:noWrap/>
            <w:vAlign w:val="bottom"/>
          </w:tcPr>
          <w:p w:rsidR="001B1906" w:rsidRPr="008A3857" w:rsidRDefault="008A3857" w:rsidP="001B1906">
            <w:pPr>
              <w:rPr>
                <w:rFonts w:cs="Arial"/>
                <w:b/>
                <w:szCs w:val="20"/>
              </w:rPr>
            </w:pPr>
            <w:r>
              <w:rPr>
                <w:rFonts w:cs="Arial"/>
                <w:b/>
                <w:szCs w:val="20"/>
              </w:rPr>
              <w:t>Gross Value Added</w:t>
            </w:r>
            <w:r w:rsidR="001B1906" w:rsidRPr="008A3857">
              <w:rPr>
                <w:rFonts w:cs="Arial"/>
                <w:b/>
                <w:szCs w:val="20"/>
              </w:rPr>
              <w:t xml:space="preserve"> at basic prices (a-b)</w:t>
            </w:r>
          </w:p>
        </w:tc>
        <w:tc>
          <w:tcPr>
            <w:tcW w:w="2520" w:type="dxa"/>
            <w:tcBorders>
              <w:top w:val="single" w:sz="4" w:space="0" w:color="auto"/>
              <w:left w:val="nil"/>
              <w:bottom w:val="single" w:sz="4" w:space="0" w:color="auto"/>
              <w:right w:val="nil"/>
            </w:tcBorders>
            <w:shd w:val="clear" w:color="auto" w:fill="auto"/>
            <w:noWrap/>
            <w:vAlign w:val="bottom"/>
          </w:tcPr>
          <w:p w:rsidR="001B1906" w:rsidRPr="008A3857" w:rsidRDefault="00C50B40" w:rsidP="00486330">
            <w:pPr>
              <w:jc w:val="right"/>
              <w:rPr>
                <w:rFonts w:cs="Arial"/>
                <w:b/>
                <w:szCs w:val="20"/>
              </w:rPr>
            </w:pPr>
            <w:r>
              <w:rPr>
                <w:rFonts w:cs="Arial"/>
                <w:b/>
                <w:szCs w:val="20"/>
              </w:rPr>
              <w:t>£</w:t>
            </w:r>
            <w:r w:rsidR="000E3F81">
              <w:rPr>
                <w:rFonts w:cs="Arial"/>
                <w:b/>
                <w:szCs w:val="20"/>
              </w:rPr>
              <w:t>126.0</w:t>
            </w:r>
            <w:r>
              <w:rPr>
                <w:rFonts w:cs="Arial"/>
                <w:b/>
                <w:szCs w:val="20"/>
              </w:rPr>
              <w:t xml:space="preserve"> </w:t>
            </w:r>
            <w:r w:rsidR="001B1906" w:rsidRPr="008A3857">
              <w:rPr>
                <w:rFonts w:cs="Arial"/>
                <w:b/>
                <w:szCs w:val="20"/>
              </w:rPr>
              <w:t>billion</w:t>
            </w:r>
          </w:p>
        </w:tc>
      </w:tr>
    </w:tbl>
    <w:p w:rsidR="00AE2BEB" w:rsidRDefault="00AE2BEB" w:rsidP="00AE2BEB">
      <w:pPr>
        <w:pStyle w:val="BodyText"/>
      </w:pPr>
    </w:p>
    <w:p w:rsidR="001B1906" w:rsidRDefault="001B1906" w:rsidP="00AE2BEB">
      <w:pPr>
        <w:pStyle w:val="BodyText"/>
      </w:pPr>
      <w:r>
        <w:t xml:space="preserve">Note that all </w:t>
      </w:r>
      <w:r w:rsidR="008A3857">
        <w:t>three</w:t>
      </w:r>
      <w:r>
        <w:t xml:space="preserve"> approaches to measuring GDP result in a figure of </w:t>
      </w:r>
      <w:r w:rsidR="00244D2A">
        <w:t>£</w:t>
      </w:r>
      <w:r w:rsidR="004B4B51">
        <w:t>126</w:t>
      </w:r>
      <w:r w:rsidR="00486330">
        <w:t>.</w:t>
      </w:r>
      <w:r w:rsidR="000E3F81">
        <w:t>0</w:t>
      </w:r>
      <w:r>
        <w:t xml:space="preserve"> billion when expressed in basic prices</w:t>
      </w:r>
      <w:r w:rsidR="00A17F4B">
        <w:t>.</w:t>
      </w:r>
      <w:r w:rsidR="006249FB">
        <w:t xml:space="preserve"> Achieving</w:t>
      </w:r>
      <w:r w:rsidR="00A17F4B">
        <w:t xml:space="preserve"> consistency </w:t>
      </w:r>
      <w:r w:rsidR="006249FB">
        <w:t>between</w:t>
      </w:r>
      <w:r w:rsidR="00A17F4B">
        <w:t xml:space="preserve"> independently derived measures</w:t>
      </w:r>
      <w:r>
        <w:t xml:space="preserve"> is a key outcome of the balancing process</w:t>
      </w:r>
      <w:r w:rsidR="00A17F4B">
        <w:t xml:space="preserve"> de</w:t>
      </w:r>
      <w:r w:rsidR="008A3857">
        <w:t>scribed later in this paper. It is</w:t>
      </w:r>
      <w:r w:rsidR="00A17F4B">
        <w:t xml:space="preserve"> also a key benefit of posit</w:t>
      </w:r>
      <w:r w:rsidR="00486330">
        <w:t>ion</w:t>
      </w:r>
      <w:r w:rsidR="00AD5D25">
        <w:t>ing N</w:t>
      </w:r>
      <w:r w:rsidR="00A17F4B">
        <w:t>ationa</w:t>
      </w:r>
      <w:r w:rsidR="00AD5D25">
        <w:t>l A</w:t>
      </w:r>
      <w:r w:rsidR="008A3857">
        <w:t>ccounts within a Supply and U</w:t>
      </w:r>
      <w:r w:rsidR="00A17F4B">
        <w:t>se framework.</w:t>
      </w:r>
    </w:p>
    <w:p w:rsidR="0062459D" w:rsidRDefault="0062459D" w:rsidP="00AE2BEB">
      <w:pPr>
        <w:pStyle w:val="BodyText"/>
      </w:pPr>
    </w:p>
    <w:p w:rsidR="00AE2BEB" w:rsidRDefault="00AE2BEB" w:rsidP="00304A61">
      <w:pPr>
        <w:pStyle w:val="Heading1"/>
        <w:sectPr w:rsidR="00AE2BEB" w:rsidSect="000158CD">
          <w:footerReference w:type="default" r:id="rId27"/>
          <w:pgSz w:w="11906" w:h="16838" w:code="9"/>
          <w:pgMar w:top="1440" w:right="1440" w:bottom="1440" w:left="1440" w:header="720" w:footer="720" w:gutter="0"/>
          <w:pgNumType w:start="1"/>
          <w:cols w:space="708"/>
          <w:docGrid w:linePitch="360"/>
        </w:sectPr>
      </w:pPr>
    </w:p>
    <w:p w:rsidR="00F37C03" w:rsidRPr="0047044B" w:rsidRDefault="00DD5F1F" w:rsidP="00304A61">
      <w:pPr>
        <w:pStyle w:val="Heading1"/>
      </w:pPr>
      <w:bookmarkStart w:id="86" w:name="_Toc290646635"/>
      <w:bookmarkStart w:id="87" w:name="_Toc290647165"/>
      <w:bookmarkStart w:id="88" w:name="_Toc290647212"/>
      <w:bookmarkStart w:id="89" w:name="_Toc292468945"/>
      <w:bookmarkStart w:id="90" w:name="_Toc497137000"/>
      <w:r w:rsidRPr="0047044B">
        <w:lastRenderedPageBreak/>
        <w:t>Compilation process for the Supply</w:t>
      </w:r>
      <w:r w:rsidR="006C53E4">
        <w:t xml:space="preserve"> and </w:t>
      </w:r>
      <w:r w:rsidRPr="0047044B">
        <w:t xml:space="preserve">Use </w:t>
      </w:r>
      <w:r w:rsidR="006C53E4">
        <w:t>T</w:t>
      </w:r>
      <w:r w:rsidRPr="0047044B">
        <w:t>ables</w:t>
      </w:r>
      <w:bookmarkEnd w:id="86"/>
      <w:bookmarkEnd w:id="87"/>
      <w:bookmarkEnd w:id="88"/>
      <w:bookmarkEnd w:id="89"/>
      <w:bookmarkEnd w:id="90"/>
    </w:p>
    <w:p w:rsidR="00E57200" w:rsidRPr="0047044B" w:rsidRDefault="00332CEF" w:rsidP="00410AFC">
      <w:pPr>
        <w:pStyle w:val="BodyText"/>
      </w:pPr>
      <w:r>
        <w:t xml:space="preserve">An overview and </w:t>
      </w:r>
      <w:r w:rsidR="00E57200" w:rsidRPr="0047044B">
        <w:t>user guide</w:t>
      </w:r>
      <w:r w:rsidR="006C53E4">
        <w:t xml:space="preserve"> for the Scottish Input-Output T</w:t>
      </w:r>
      <w:r w:rsidR="00E57200" w:rsidRPr="0047044B">
        <w:t>ables are avai</w:t>
      </w:r>
      <w:r w:rsidR="000036E1">
        <w:t>lable on the</w:t>
      </w:r>
      <w:r w:rsidR="00E57200" w:rsidRPr="0047044B">
        <w:t xml:space="preserve"> </w:t>
      </w:r>
      <w:hyperlink r:id="rId28" w:history="1">
        <w:r w:rsidRPr="000036E1">
          <w:rPr>
            <w:rStyle w:val="Hyperlink"/>
          </w:rPr>
          <w:t xml:space="preserve">Input-Output Table </w:t>
        </w:r>
        <w:r w:rsidR="00E57200" w:rsidRPr="000036E1">
          <w:rPr>
            <w:rStyle w:val="Hyperlink"/>
          </w:rPr>
          <w:t>website</w:t>
        </w:r>
      </w:hyperlink>
      <w:r>
        <w:rPr>
          <w:rStyle w:val="FootnoteReference"/>
          <w:rFonts w:cs="Arial"/>
        </w:rPr>
        <w:footnoteReference w:id="9"/>
      </w:r>
    </w:p>
    <w:p w:rsidR="00A91420" w:rsidRPr="00410AFC" w:rsidRDefault="00F37C03" w:rsidP="006C53E4">
      <w:pPr>
        <w:pStyle w:val="BodyText"/>
      </w:pPr>
      <w:r w:rsidRPr="0047044B">
        <w:t xml:space="preserve">The compilation of the Supply </w:t>
      </w:r>
      <w:r w:rsidR="006C53E4">
        <w:t>and Use T</w:t>
      </w:r>
      <w:r w:rsidRPr="0047044B">
        <w:t>ables can be broken down into four broad stages</w:t>
      </w:r>
      <w:r w:rsidR="00372EA4" w:rsidRPr="0047044B">
        <w:t>:</w:t>
      </w:r>
    </w:p>
    <w:p w:rsidR="006C53E4" w:rsidRDefault="000A5718" w:rsidP="00410AFC">
      <w:pPr>
        <w:pStyle w:val="BodyTextnumberred"/>
      </w:pPr>
      <w:r w:rsidRPr="0047044B">
        <w:t>Compilation</w:t>
      </w:r>
      <w:r w:rsidR="00A91420" w:rsidRPr="0047044B">
        <w:t xml:space="preserve"> </w:t>
      </w:r>
      <w:r w:rsidR="00F37C03" w:rsidRPr="0047044B">
        <w:t xml:space="preserve">of </w:t>
      </w:r>
      <w:r w:rsidR="006C53E4">
        <w:t>initial Supply</w:t>
      </w:r>
      <w:r w:rsidR="00A91420" w:rsidRPr="0047044B">
        <w:t xml:space="preserve"> and Use </w:t>
      </w:r>
      <w:r w:rsidR="006C53E4">
        <w:t>Tables</w:t>
      </w:r>
    </w:p>
    <w:p w:rsidR="00DF252B" w:rsidRPr="0047044B" w:rsidRDefault="00A91420" w:rsidP="00410AFC">
      <w:pPr>
        <w:pStyle w:val="BodyTextnumberred"/>
      </w:pPr>
      <w:r w:rsidRPr="0047044B">
        <w:t>Constrain</w:t>
      </w:r>
      <w:r w:rsidR="00F37C03" w:rsidRPr="0047044B">
        <w:t>ing of</w:t>
      </w:r>
      <w:r w:rsidRPr="0047044B">
        <w:t xml:space="preserve"> column totals by industry</w:t>
      </w:r>
      <w:r w:rsidR="006C53E4">
        <w:t>,</w:t>
      </w:r>
      <w:r w:rsidRPr="0047044B">
        <w:t xml:space="preserve"> </w:t>
      </w:r>
      <w:r w:rsidR="006C53E4">
        <w:t>incorporating</w:t>
      </w:r>
      <w:r w:rsidR="00DF252B" w:rsidRPr="0047044B">
        <w:t xml:space="preserve"> </w:t>
      </w:r>
      <w:r w:rsidR="00F37C03" w:rsidRPr="0047044B">
        <w:t xml:space="preserve">ONS </w:t>
      </w:r>
      <w:r w:rsidR="00DF252B" w:rsidRPr="0047044B">
        <w:t>Regional Account</w:t>
      </w:r>
      <w:r w:rsidR="00F37C03" w:rsidRPr="0047044B">
        <w:t>s estimates</w:t>
      </w:r>
      <w:r w:rsidR="006C53E4">
        <w:t xml:space="preserve"> of Gross Value Added</w:t>
      </w:r>
    </w:p>
    <w:p w:rsidR="00DF252B" w:rsidRPr="0047044B" w:rsidRDefault="000A5718" w:rsidP="00410AFC">
      <w:pPr>
        <w:pStyle w:val="BodyTextnumberred"/>
      </w:pPr>
      <w:r w:rsidRPr="0047044B">
        <w:t>Estimation of</w:t>
      </w:r>
      <w:r w:rsidR="00A91420" w:rsidRPr="0047044B">
        <w:t xml:space="preserve"> the remainder of the Supply table (valuation and imports)</w:t>
      </w:r>
    </w:p>
    <w:p w:rsidR="00DF252B" w:rsidRDefault="000A5718" w:rsidP="00410AFC">
      <w:pPr>
        <w:pStyle w:val="BodyTextnumberred"/>
      </w:pPr>
      <w:r w:rsidRPr="0047044B">
        <w:t>Balancing of</w:t>
      </w:r>
      <w:r w:rsidR="00DF252B" w:rsidRPr="0047044B">
        <w:t xml:space="preserve"> the tables</w:t>
      </w:r>
    </w:p>
    <w:p w:rsidR="00410AFC" w:rsidRDefault="00410AFC" w:rsidP="00410AFC">
      <w:pPr>
        <w:pStyle w:val="BodyTextnumberred"/>
        <w:numPr>
          <w:ilvl w:val="0"/>
          <w:numId w:val="0"/>
        </w:numPr>
        <w:ind w:left="924" w:hanging="357"/>
      </w:pPr>
    </w:p>
    <w:p w:rsidR="0072124C" w:rsidRDefault="00DF252B" w:rsidP="00410AFC">
      <w:pPr>
        <w:pStyle w:val="BodyText"/>
      </w:pPr>
      <w:r w:rsidRPr="0047044B">
        <w:t>The process itself is n</w:t>
      </w:r>
      <w:r w:rsidR="00410AFC">
        <w:t>either</w:t>
      </w:r>
      <w:r w:rsidRPr="0047044B">
        <w:t xml:space="preserve"> </w:t>
      </w:r>
      <w:r w:rsidR="00410AFC">
        <w:t>straightforward nor linear.</w:t>
      </w:r>
      <w:r w:rsidRPr="0047044B">
        <w:t xml:space="preserve">  </w:t>
      </w:r>
      <w:r w:rsidR="00F37C03" w:rsidRPr="0047044B">
        <w:t>Problems may come to light at a later stage in the pro</w:t>
      </w:r>
      <w:r w:rsidR="00372EA4" w:rsidRPr="0047044B">
        <w:t>cess which require revisiting of</w:t>
      </w:r>
      <w:r w:rsidR="00F37C03" w:rsidRPr="0047044B">
        <w:t xml:space="preserve"> the earlier stages.  More fundamentally, significant changes made during the balancing process can render the tables inconsistent with the tax, margin and subsidy figures estimated in step 3.  Re-estimating these can then return </w:t>
      </w:r>
      <w:r w:rsidR="00372EA4" w:rsidRPr="0047044B">
        <w:t xml:space="preserve">the </w:t>
      </w:r>
      <w:r w:rsidR="00F37C03" w:rsidRPr="0047044B">
        <w:t xml:space="preserve">tables to an unbalanced state.  An iterative process of re-estimation and rebalancing is therefore applied until the tables converge to a consistent </w:t>
      </w:r>
      <w:r w:rsidR="00ED4EE1">
        <w:t>and balanced final estimate.</w:t>
      </w:r>
    </w:p>
    <w:p w:rsidR="00A91420" w:rsidRPr="0047044B" w:rsidRDefault="0072124C" w:rsidP="00410AFC">
      <w:pPr>
        <w:pStyle w:val="BodyText"/>
      </w:pPr>
      <w:r w:rsidRPr="0047044B">
        <w:t>The process of compi</w:t>
      </w:r>
      <w:r w:rsidR="006C53E4">
        <w:t>ling Supply and Use T</w:t>
      </w:r>
      <w:r w:rsidRPr="0047044B">
        <w:t>ables is extremely data-intensive.  For many items, direct estimates for Scotland are</w:t>
      </w:r>
      <w:r w:rsidR="00ED4EE1">
        <w:t xml:space="preserve"> not </w:t>
      </w:r>
      <w:r w:rsidRPr="0047044B">
        <w:t xml:space="preserve">available.  While Scottish data are used where they are available and sufficiently robust, in cases where it is not, other data sources may need to be </w:t>
      </w:r>
      <w:r w:rsidR="00ED4EE1">
        <w:t>relied</w:t>
      </w:r>
      <w:r w:rsidR="00ED4EE1" w:rsidRPr="0047044B">
        <w:t xml:space="preserve"> </w:t>
      </w:r>
      <w:r w:rsidR="006C53E4">
        <w:t xml:space="preserve">upon, especially the UK Supply and </w:t>
      </w:r>
      <w:r w:rsidRPr="0047044B">
        <w:t xml:space="preserve">Use </w:t>
      </w:r>
      <w:r w:rsidR="006C53E4">
        <w:t xml:space="preserve">Tables </w:t>
      </w:r>
      <w:r w:rsidRPr="0047044B">
        <w:t xml:space="preserve">and associated </w:t>
      </w:r>
      <w:r w:rsidR="00ED4EE1">
        <w:t>background datasets</w:t>
      </w:r>
      <w:r w:rsidRPr="0047044B">
        <w:t>.  The compilation process for the Scottish tables is therefore a mixture of a top-down apportionment</w:t>
      </w:r>
      <w:r w:rsidR="0007152C" w:rsidRPr="0047044B">
        <w:t xml:space="preserve"> driven</w:t>
      </w:r>
      <w:r w:rsidRPr="0047044B">
        <w:t xml:space="preserve"> approach, and a bottom-up raw data driven approach.</w:t>
      </w:r>
    </w:p>
    <w:p w:rsidR="00C91E49" w:rsidRPr="0047044B" w:rsidRDefault="00C91E49" w:rsidP="00441073">
      <w:pPr>
        <w:pStyle w:val="Heading2"/>
      </w:pPr>
      <w:bookmarkStart w:id="91" w:name="_Toc290646636"/>
      <w:bookmarkStart w:id="92" w:name="_Toc290647166"/>
      <w:bookmarkStart w:id="93" w:name="_Toc290647213"/>
      <w:bookmarkStart w:id="94" w:name="_Toc292468946"/>
      <w:bookmarkStart w:id="95" w:name="_Toc497137001"/>
      <w:r w:rsidRPr="0047044B">
        <w:t>Construction of the</w:t>
      </w:r>
      <w:r w:rsidR="00090CBC" w:rsidRPr="0047044B">
        <w:t xml:space="preserve"> </w:t>
      </w:r>
      <w:r w:rsidR="00A91420" w:rsidRPr="0047044B">
        <w:t>i</w:t>
      </w:r>
      <w:r w:rsidR="00090CBC" w:rsidRPr="0047044B">
        <w:t>nitial</w:t>
      </w:r>
      <w:r w:rsidRPr="0047044B">
        <w:t xml:space="preserve"> </w:t>
      </w:r>
      <w:r w:rsidR="00A13D0F" w:rsidRPr="0047044B">
        <w:t>Supply Table</w:t>
      </w:r>
      <w:bookmarkEnd w:id="91"/>
      <w:bookmarkEnd w:id="92"/>
      <w:bookmarkEnd w:id="93"/>
      <w:bookmarkEnd w:id="94"/>
      <w:bookmarkEnd w:id="95"/>
    </w:p>
    <w:p w:rsidR="00C91E49" w:rsidRPr="0047044B" w:rsidRDefault="00EF51F8" w:rsidP="00410AFC">
      <w:pPr>
        <w:pStyle w:val="BodyText"/>
      </w:pPr>
      <w:r w:rsidRPr="0047044B">
        <w:t>The first stage of constructing a</w:t>
      </w:r>
      <w:r w:rsidR="00090CBC" w:rsidRPr="0047044B">
        <w:t xml:space="preserve"> S</w:t>
      </w:r>
      <w:r w:rsidR="006C53E4">
        <w:t>upply T</w:t>
      </w:r>
      <w:r w:rsidRPr="0047044B">
        <w:t xml:space="preserve">able is the generation of the </w:t>
      </w:r>
      <w:r w:rsidR="00653C6D">
        <w:t xml:space="preserve">domestic </w:t>
      </w:r>
      <w:r w:rsidR="006C53E4">
        <w:t>Supply T</w:t>
      </w:r>
      <w:r w:rsidR="00A13D0F" w:rsidRPr="0047044B">
        <w:t>able at basic prices</w:t>
      </w:r>
      <w:r w:rsidRPr="0047044B">
        <w:t xml:space="preserve">.  </w:t>
      </w:r>
      <w:r w:rsidR="006C53E4">
        <w:t>This is the part of the Supply T</w:t>
      </w:r>
      <w:r w:rsidRPr="0047044B">
        <w:t xml:space="preserve">able which shows the </w:t>
      </w:r>
      <w:r w:rsidR="00ED4EE1">
        <w:t>mix</w:t>
      </w:r>
      <w:r w:rsidR="00ED4EE1" w:rsidRPr="0047044B">
        <w:t xml:space="preserve"> </w:t>
      </w:r>
      <w:r w:rsidRPr="0047044B">
        <w:t xml:space="preserve">of </w:t>
      </w:r>
      <w:r w:rsidR="000079AA" w:rsidRPr="0047044B">
        <w:t xml:space="preserve">products </w:t>
      </w:r>
      <w:r w:rsidRPr="0047044B">
        <w:t xml:space="preserve">produced by each industry (or, if you prefer, the </w:t>
      </w:r>
      <w:r w:rsidR="00ED4EE1">
        <w:t>range</w:t>
      </w:r>
      <w:r w:rsidR="00ED4EE1" w:rsidRPr="0047044B">
        <w:t xml:space="preserve"> </w:t>
      </w:r>
      <w:r w:rsidRPr="0047044B">
        <w:t xml:space="preserve">of industries which contribute to the domestic production of each </w:t>
      </w:r>
      <w:r w:rsidR="000079AA" w:rsidRPr="0047044B">
        <w:t>product</w:t>
      </w:r>
      <w:r w:rsidRPr="0047044B">
        <w:t xml:space="preserve">).  The row sums of this matrix correspond to the domestic output of each </w:t>
      </w:r>
      <w:r w:rsidR="000079AA" w:rsidRPr="0047044B">
        <w:t xml:space="preserve">product </w:t>
      </w:r>
      <w:r w:rsidRPr="0047044B">
        <w:t xml:space="preserve">for the whole economy, and the column sums correspond to the total output of each industry.  This </w:t>
      </w:r>
      <w:r w:rsidR="006C53E4">
        <w:t>matr</w:t>
      </w:r>
      <w:r w:rsidRPr="0047044B">
        <w:t>ix is valued at basic prices</w:t>
      </w:r>
      <w:r w:rsidR="002D569B">
        <w:t xml:space="preserve"> which means</w:t>
      </w:r>
      <w:r w:rsidR="006C53E4">
        <w:t xml:space="preserve"> the amount received by the producer for a unit of goods or services excluding any taxes on products and including any subsidies on products</w:t>
      </w:r>
      <w:r w:rsidRPr="0047044B">
        <w:t>.</w:t>
      </w:r>
      <w:r w:rsidR="006C53E4">
        <w:t xml:space="preserve"> This price includes only taxes on production (such as business rates) and excludes any subsidies on production (such as single farm payment). This price excludes any transport charges invoiced separately by the producer.</w:t>
      </w:r>
      <w:r w:rsidR="00270BEC" w:rsidRPr="0047044B">
        <w:t xml:space="preserve">  The remaining columns of the full </w:t>
      </w:r>
      <w:r w:rsidR="006C53E4">
        <w:t>Supply T</w:t>
      </w:r>
      <w:r w:rsidR="00270BEC" w:rsidRPr="0047044B">
        <w:t xml:space="preserve">able show the transition from domestic </w:t>
      </w:r>
      <w:r w:rsidR="000079AA" w:rsidRPr="0047044B">
        <w:t xml:space="preserve">product </w:t>
      </w:r>
      <w:r w:rsidR="00270BEC" w:rsidRPr="0047044B">
        <w:t xml:space="preserve">output at basic prices to total supply of </w:t>
      </w:r>
      <w:r w:rsidR="000079AA" w:rsidRPr="0047044B">
        <w:t xml:space="preserve">products </w:t>
      </w:r>
      <w:r w:rsidR="00270BEC" w:rsidRPr="0047044B">
        <w:t>at purchasers’ prices, however these are not estimated until later on in the process of compilation.</w:t>
      </w:r>
    </w:p>
    <w:p w:rsidR="00EF51F8" w:rsidRPr="0047044B" w:rsidRDefault="00270BEC" w:rsidP="00410AFC">
      <w:pPr>
        <w:pStyle w:val="BodyText"/>
      </w:pPr>
      <w:r w:rsidRPr="0047044B">
        <w:t xml:space="preserve">The main </w:t>
      </w:r>
      <w:r w:rsidR="004B0613" w:rsidRPr="0047044B">
        <w:t xml:space="preserve">data source used here is the </w:t>
      </w:r>
      <w:r w:rsidR="006C53E4">
        <w:t xml:space="preserve">ONS </w:t>
      </w:r>
      <w:r w:rsidR="004B0613" w:rsidRPr="0047044B">
        <w:t>Annual Business Survey</w:t>
      </w:r>
      <w:r w:rsidRPr="0047044B">
        <w:t xml:space="preserve"> (</w:t>
      </w:r>
      <w:r w:rsidR="007E78D8">
        <w:t>ABS</w:t>
      </w:r>
      <w:r w:rsidR="00967097">
        <w:t>)</w:t>
      </w:r>
      <w:r w:rsidR="0016784D">
        <w:t>.  A</w:t>
      </w:r>
      <w:r w:rsidR="004B0613" w:rsidRPr="0047044B">
        <w:t xml:space="preserve">lthough </w:t>
      </w:r>
      <w:r w:rsidRPr="0047044B">
        <w:t>other</w:t>
      </w:r>
      <w:r w:rsidR="004B0613" w:rsidRPr="0047044B">
        <w:t xml:space="preserve"> sources may be used for some</w:t>
      </w:r>
      <w:r w:rsidRPr="0047044B">
        <w:t xml:space="preserve"> industries</w:t>
      </w:r>
      <w:r w:rsidR="00D62F79" w:rsidRPr="0047044B">
        <w:t>, the general approach is the same</w:t>
      </w:r>
      <w:r w:rsidRPr="0047044B">
        <w:t xml:space="preserve">; details </w:t>
      </w:r>
      <w:r w:rsidR="00D62F79" w:rsidRPr="0047044B">
        <w:t>of the data sources used</w:t>
      </w:r>
      <w:r w:rsidR="004B0613" w:rsidRPr="0047044B">
        <w:t xml:space="preserve"> </w:t>
      </w:r>
      <w:r w:rsidRPr="0047044B">
        <w:t xml:space="preserve">are listed in Annex </w:t>
      </w:r>
      <w:r w:rsidR="00FB473B" w:rsidRPr="0047044B">
        <w:t>A</w:t>
      </w:r>
      <w:r w:rsidRPr="0047044B">
        <w:t xml:space="preserve">.  </w:t>
      </w:r>
      <w:r w:rsidR="003B7615" w:rsidRPr="0047044B">
        <w:t>A number of adjustments are made to the AB</w:t>
      </w:r>
      <w:r w:rsidR="00912FD8">
        <w:t>S</w:t>
      </w:r>
      <w:r w:rsidR="003B7615" w:rsidRPr="0047044B">
        <w:t xml:space="preserve"> first to handle known data pr</w:t>
      </w:r>
      <w:r w:rsidR="00593902">
        <w:t xml:space="preserve">oblems with specific companies, </w:t>
      </w:r>
      <w:r w:rsidR="003B7615" w:rsidRPr="0047044B">
        <w:t xml:space="preserve">which might otherwise cause distortions in </w:t>
      </w:r>
      <w:r w:rsidR="00593902">
        <w:t>the</w:t>
      </w:r>
      <w:r w:rsidR="003B7615" w:rsidRPr="0047044B">
        <w:t xml:space="preserve"> table due to their size</w:t>
      </w:r>
      <w:r w:rsidR="004B0613" w:rsidRPr="0047044B">
        <w:t>.</w:t>
      </w:r>
    </w:p>
    <w:p w:rsidR="00E811D2" w:rsidRPr="0047044B" w:rsidRDefault="00590E3D" w:rsidP="00410AFC">
      <w:pPr>
        <w:pStyle w:val="BodyText"/>
      </w:pPr>
      <w:r>
        <w:t>Total o</w:t>
      </w:r>
      <w:r w:rsidR="00E811D2" w:rsidRPr="0047044B">
        <w:t xml:space="preserve">utput at basic prices data by industry are taken from the ABS.  These provide the column (industry) totals for the </w:t>
      </w:r>
      <w:r w:rsidR="000036E1">
        <w:t>d</w:t>
      </w:r>
      <w:r>
        <w:t>omestic output part of the Supply Table.</w:t>
      </w:r>
      <w:r w:rsidR="00593902">
        <w:t xml:space="preserve"> </w:t>
      </w:r>
      <w:r w:rsidR="00E811D2" w:rsidRPr="0047044B">
        <w:t xml:space="preserve">In the case of manufactured products produced by manufacturing industries, Scotland-specific data from the </w:t>
      </w:r>
      <w:hyperlink r:id="rId29" w:history="1">
        <w:r w:rsidR="00593902" w:rsidRPr="000036E1">
          <w:rPr>
            <w:rStyle w:val="Hyperlink"/>
          </w:rPr>
          <w:t>Products of the European Community Survey</w:t>
        </w:r>
        <w:r w:rsidR="000036E1" w:rsidRPr="000036E1">
          <w:rPr>
            <w:rStyle w:val="Hyperlink"/>
          </w:rPr>
          <w:t xml:space="preserve"> (PRODCOM)</w:t>
        </w:r>
      </w:hyperlink>
      <w:r w:rsidR="00593902">
        <w:rPr>
          <w:rStyle w:val="FootnoteReference"/>
        </w:rPr>
        <w:footnoteReference w:id="10"/>
      </w:r>
      <w:r w:rsidR="00593902">
        <w:t xml:space="preserve"> </w:t>
      </w:r>
      <w:r w:rsidR="00E811D2" w:rsidRPr="0047044B">
        <w:t>survey</w:t>
      </w:r>
      <w:r w:rsidR="00593902">
        <w:t xml:space="preserve"> are used</w:t>
      </w:r>
      <w:r w:rsidR="00E811D2" w:rsidRPr="0047044B">
        <w:t xml:space="preserve">.  </w:t>
      </w:r>
      <w:r w:rsidR="001969DF" w:rsidRPr="0047044B">
        <w:t xml:space="preserve">Where a sufficient proportion of an industry is covered by data from PRODCOM, proportions derived </w:t>
      </w:r>
      <w:r w:rsidR="001969DF" w:rsidRPr="0047044B">
        <w:lastRenderedPageBreak/>
        <w:t>from it are used to estimate the spread of manufactured products produced by that industry</w:t>
      </w:r>
      <w:r w:rsidR="00593902">
        <w:t>. Where PRODCOM data coverage is not sufficient</w:t>
      </w:r>
      <w:r w:rsidR="000036E1">
        <w:t>,</w:t>
      </w:r>
      <w:r w:rsidR="00593902">
        <w:t xml:space="preserve"> the </w:t>
      </w:r>
      <w:r w:rsidR="001969DF" w:rsidRPr="0047044B">
        <w:t xml:space="preserve">UK </w:t>
      </w:r>
      <w:r>
        <w:t>Supply T</w:t>
      </w:r>
      <w:r w:rsidR="00D62F79" w:rsidRPr="0047044B">
        <w:t xml:space="preserve">able </w:t>
      </w:r>
      <w:r w:rsidR="001969DF" w:rsidRPr="0047044B">
        <w:t>proportions are used</w:t>
      </w:r>
      <w:r w:rsidR="00E46A8B">
        <w:t>.</w:t>
      </w:r>
      <w:r w:rsidR="00593902">
        <w:t xml:space="preserve"> </w:t>
      </w:r>
      <w:r w:rsidR="00E46A8B">
        <w:t>The</w:t>
      </w:r>
      <w:r w:rsidR="001969DF" w:rsidRPr="0047044B">
        <w:t xml:space="preserve"> distribution of non-manufactured </w:t>
      </w:r>
      <w:r w:rsidR="00593902">
        <w:t>products</w:t>
      </w:r>
      <w:r w:rsidR="00585ED6">
        <w:t xml:space="preserve"> </w:t>
      </w:r>
      <w:r w:rsidR="000036E1">
        <w:t>is also taken from UK S</w:t>
      </w:r>
      <w:r w:rsidR="00E46A8B">
        <w:t xml:space="preserve">upply </w:t>
      </w:r>
      <w:r w:rsidR="000036E1">
        <w:t xml:space="preserve">Table </w:t>
      </w:r>
      <w:r w:rsidR="00E46A8B">
        <w:t>proportions, with the exception of the Research and Development product, which is estimated using proportions derived from the Business Expenditure on Research and Development (</w:t>
      </w:r>
      <w:proofErr w:type="spellStart"/>
      <w:r w:rsidR="00E46A8B">
        <w:t>BERD</w:t>
      </w:r>
      <w:proofErr w:type="spellEnd"/>
      <w:r w:rsidR="00E46A8B">
        <w:t>) survey and the ONS Gross Expenditure on Research and Develop</w:t>
      </w:r>
      <w:r w:rsidR="000036E1">
        <w:t>ment publication applied to UK S</w:t>
      </w:r>
      <w:r w:rsidR="00E46A8B">
        <w:t>upply of R&amp;D.</w:t>
      </w:r>
    </w:p>
    <w:p w:rsidR="00D62F79" w:rsidRPr="0047044B" w:rsidRDefault="0016784D" w:rsidP="00410AFC">
      <w:pPr>
        <w:pStyle w:val="BodyText"/>
      </w:pPr>
      <w:r>
        <w:t>T</w:t>
      </w:r>
      <w:r w:rsidR="00D62F79" w:rsidRPr="0047044B">
        <w:t xml:space="preserve">he total output and the composition of products which make up that output are estimated separately, </w:t>
      </w:r>
      <w:r w:rsidR="001D42C1">
        <w:t xml:space="preserve">consequently </w:t>
      </w:r>
      <w:r w:rsidR="00D62F79" w:rsidRPr="0047044B">
        <w:t>it is possible for this approach to generate estimates which are inconsistent with the UK tables (e.g. small sample effects in PRODCOM leading to a particular cell or cells implying an unreasonably large or small proportion of the corre</w:t>
      </w:r>
      <w:r w:rsidR="001D42C1">
        <w:t>sponding cell in the UK Supply T</w:t>
      </w:r>
      <w:r w:rsidR="00D62F79" w:rsidRPr="0047044B">
        <w:t xml:space="preserve">able).  Therefore a check of our initial Scottish estimates against the UK Supply </w:t>
      </w:r>
      <w:r w:rsidR="001D42C1">
        <w:t>T</w:t>
      </w:r>
      <w:r w:rsidR="00D62F79" w:rsidRPr="0047044B">
        <w:t xml:space="preserve">able is made to detect problems, and if necessary, adjustments </w:t>
      </w:r>
      <w:r w:rsidR="00912FD8">
        <w:t xml:space="preserve">are </w:t>
      </w:r>
      <w:r w:rsidR="00D62F79" w:rsidRPr="0047044B">
        <w:t>made.</w:t>
      </w:r>
    </w:p>
    <w:p w:rsidR="00D62F79" w:rsidRPr="0047044B" w:rsidRDefault="00D62F79" w:rsidP="00410AFC">
      <w:pPr>
        <w:pStyle w:val="BodyText"/>
      </w:pPr>
      <w:r w:rsidRPr="0047044B">
        <w:t xml:space="preserve">Having done this, we are left with an initial estimate of a Scottish </w:t>
      </w:r>
      <w:r w:rsidR="001D42C1">
        <w:t>Supply T</w:t>
      </w:r>
      <w:r w:rsidR="00912FD8">
        <w:t>able</w:t>
      </w:r>
      <w:r w:rsidR="00912FD8" w:rsidRPr="0047044B">
        <w:t xml:space="preserve"> </w:t>
      </w:r>
      <w:r w:rsidRPr="0047044B">
        <w:t>which is ready to be fed in to the SAS system for further processing.</w:t>
      </w:r>
    </w:p>
    <w:p w:rsidR="00331BFF" w:rsidRPr="0047044B" w:rsidRDefault="00331BFF" w:rsidP="00441073">
      <w:pPr>
        <w:pStyle w:val="Heading3"/>
      </w:pPr>
      <w:bookmarkStart w:id="96" w:name="_Toc290646637"/>
      <w:bookmarkStart w:id="97" w:name="_Toc290647167"/>
      <w:bookmarkStart w:id="98" w:name="_Toc290647214"/>
      <w:bookmarkStart w:id="99" w:name="_Toc292468947"/>
      <w:bookmarkStart w:id="100" w:name="_Toc497137002"/>
      <w:r w:rsidRPr="0047044B">
        <w:t xml:space="preserve">Market </w:t>
      </w:r>
      <w:r w:rsidR="0022114D">
        <w:t>output, output for own final use and n</w:t>
      </w:r>
      <w:r w:rsidRPr="0047044B">
        <w:t>on-market output</w:t>
      </w:r>
      <w:bookmarkEnd w:id="96"/>
      <w:bookmarkEnd w:id="97"/>
      <w:bookmarkEnd w:id="98"/>
      <w:bookmarkEnd w:id="99"/>
      <w:bookmarkEnd w:id="100"/>
    </w:p>
    <w:p w:rsidR="00331BFF" w:rsidRPr="0047044B" w:rsidRDefault="0005682C" w:rsidP="007E78D8">
      <w:pPr>
        <w:pStyle w:val="BodyText"/>
      </w:pPr>
      <w:r w:rsidRPr="0047044B">
        <w:t>A</w:t>
      </w:r>
      <w:r w:rsidR="001D42C1">
        <w:t>n important distinction in National A</w:t>
      </w:r>
      <w:r w:rsidRPr="0047044B">
        <w:t xml:space="preserve">ccounts is </w:t>
      </w:r>
      <w:r w:rsidR="001D42C1">
        <w:t>made</w:t>
      </w:r>
      <w:r w:rsidRPr="0047044B">
        <w:t xml:space="preserve"> between market </w:t>
      </w:r>
      <w:r w:rsidR="0022114D">
        <w:t xml:space="preserve">output, output for own final use, </w:t>
      </w:r>
      <w:r w:rsidRPr="0047044B">
        <w:t xml:space="preserve">and non-market output.  Market output is </w:t>
      </w:r>
      <w:r w:rsidR="00324F3A" w:rsidRPr="0047044B">
        <w:t>produced for sale (or intended sale) on the market at economically significant prices.</w:t>
      </w:r>
      <w:r w:rsidR="00116EEC" w:rsidRPr="0047044B">
        <w:t xml:space="preserve">  This price information makes it easy to value this sort of output.</w:t>
      </w:r>
    </w:p>
    <w:p w:rsidR="00967097" w:rsidRDefault="00116EEC" w:rsidP="007E78D8">
      <w:pPr>
        <w:pStyle w:val="BodyText"/>
      </w:pPr>
      <w:r w:rsidRPr="0047044B">
        <w:t>However, the economy also produces output</w:t>
      </w:r>
      <w:r w:rsidR="0022114D">
        <w:t xml:space="preserve"> which is not sold at market, or is not sold at economically significant prices</w:t>
      </w:r>
      <w:r w:rsidRPr="0047044B">
        <w:t>.  This can be broken down further into</w:t>
      </w:r>
      <w:r w:rsidR="00967097">
        <w:t>:</w:t>
      </w:r>
    </w:p>
    <w:p w:rsidR="0022114D" w:rsidRDefault="0022114D" w:rsidP="00865341">
      <w:pPr>
        <w:pStyle w:val="BodyTextBulletted"/>
      </w:pPr>
      <w:r>
        <w:t>Output for own final use</w:t>
      </w:r>
    </w:p>
    <w:p w:rsidR="00116EEC" w:rsidRPr="0047044B" w:rsidRDefault="00116EEC" w:rsidP="0022114D">
      <w:pPr>
        <w:pStyle w:val="BodyTextBulletted"/>
        <w:numPr>
          <w:ilvl w:val="1"/>
          <w:numId w:val="2"/>
        </w:numPr>
      </w:pPr>
      <w:r w:rsidRPr="0047044B">
        <w:t>Ou</w:t>
      </w:r>
      <w:r w:rsidR="001F00D4" w:rsidRPr="0047044B">
        <w:t>tput for own final consumption</w:t>
      </w:r>
      <w:r w:rsidR="00A14D2D">
        <w:t>:</w:t>
      </w:r>
      <w:r w:rsidR="00865341">
        <w:tab/>
      </w:r>
      <w:r w:rsidR="001F00D4" w:rsidRPr="0047044B">
        <w:t xml:space="preserve"> </w:t>
      </w:r>
      <w:r w:rsidRPr="0047044B">
        <w:br/>
        <w:t xml:space="preserve">Corporations do not have any final consumption, so only unincorporated enterprises in the household sector may produce this kind of output.  It includes </w:t>
      </w:r>
      <w:r w:rsidR="000036E1">
        <w:t>for example,</w:t>
      </w:r>
      <w:r w:rsidRPr="0047044B">
        <w:t xml:space="preserve"> farmers who consume a portion of their own produce, housing services provided by owner-occupiers and household services produced by employing paid</w:t>
      </w:r>
      <w:r w:rsidR="001F00D4" w:rsidRPr="0047044B">
        <w:t xml:space="preserve"> staff</w:t>
      </w:r>
      <w:r w:rsidR="000036E1">
        <w:t>.</w:t>
      </w:r>
    </w:p>
    <w:p w:rsidR="00116EEC" w:rsidRPr="0047044B" w:rsidRDefault="001D42C1" w:rsidP="0022114D">
      <w:pPr>
        <w:pStyle w:val="BodyTextBulletted"/>
        <w:numPr>
          <w:ilvl w:val="1"/>
          <w:numId w:val="2"/>
        </w:numPr>
      </w:pPr>
      <w:r>
        <w:t>Output for own gross fixed capital f</w:t>
      </w:r>
      <w:r w:rsidR="00116EEC" w:rsidRPr="0047044B">
        <w:t>ormation</w:t>
      </w:r>
      <w:r w:rsidR="00A14D2D">
        <w:t>:</w:t>
      </w:r>
      <w:r w:rsidR="00865341">
        <w:tab/>
      </w:r>
      <w:r w:rsidR="00116EEC" w:rsidRPr="0047044B">
        <w:t xml:space="preserve"> </w:t>
      </w:r>
      <w:r w:rsidR="00116EEC" w:rsidRPr="0047044B">
        <w:br/>
        <w:t xml:space="preserve">This can be produced by any kind of enterprise, and includes, </w:t>
      </w:r>
      <w:r w:rsidR="000036E1">
        <w:t>for example</w:t>
      </w:r>
      <w:r w:rsidR="00116EEC" w:rsidRPr="0047044B">
        <w:t xml:space="preserve"> production of specialised machine </w:t>
      </w:r>
      <w:r w:rsidR="00EE6CF9" w:rsidRPr="0047044B">
        <w:t>tools by a m</w:t>
      </w:r>
      <w:r w:rsidR="001F00D4" w:rsidRPr="0047044B">
        <w:t>a</w:t>
      </w:r>
      <w:r w:rsidR="00EE6CF9" w:rsidRPr="0047044B">
        <w:t>n</w:t>
      </w:r>
      <w:r w:rsidR="001F00D4" w:rsidRPr="0047044B">
        <w:t>u</w:t>
      </w:r>
      <w:r w:rsidR="00EE6CF9" w:rsidRPr="0047044B">
        <w:t xml:space="preserve">facturer, </w:t>
      </w:r>
      <w:r w:rsidR="009F1889">
        <w:t xml:space="preserve">research and development, in-house IT development </w:t>
      </w:r>
      <w:r w:rsidR="001F00D4" w:rsidRPr="0047044B">
        <w:t>and</w:t>
      </w:r>
      <w:r w:rsidR="00EE6CF9" w:rsidRPr="0047044B">
        <w:t xml:space="preserve"> extensions to dwellings produced by households</w:t>
      </w:r>
    </w:p>
    <w:p w:rsidR="00EE6CF9" w:rsidRDefault="0022114D" w:rsidP="00865341">
      <w:pPr>
        <w:pStyle w:val="BodyTextBulletted"/>
      </w:pPr>
      <w:r>
        <w:t>N</w:t>
      </w:r>
      <w:r w:rsidR="00116EEC" w:rsidRPr="0047044B">
        <w:t>on-market output</w:t>
      </w:r>
      <w:r w:rsidR="00A14D2D">
        <w:t>:</w:t>
      </w:r>
      <w:r w:rsidR="00865341">
        <w:tab/>
      </w:r>
      <w:r w:rsidR="00EE6CF9" w:rsidRPr="0047044B">
        <w:br/>
        <w:t xml:space="preserve">This is output produced by </w:t>
      </w:r>
      <w:proofErr w:type="spellStart"/>
      <w:r w:rsidR="00EE6CF9" w:rsidRPr="0047044B">
        <w:t>NPISHs</w:t>
      </w:r>
      <w:proofErr w:type="spellEnd"/>
      <w:r w:rsidR="00EE6CF9" w:rsidRPr="0047044B">
        <w:t xml:space="preserve"> or government (central or local) which is provided free, or at economically </w:t>
      </w:r>
      <w:r w:rsidR="000079AA" w:rsidRPr="0047044B">
        <w:t>insignificant</w:t>
      </w:r>
      <w:r w:rsidR="00EE6CF9" w:rsidRPr="0047044B">
        <w:t xml:space="preserve"> prices.  This includes services such as military defence and the NH</w:t>
      </w:r>
      <w:r w:rsidR="007E78D8">
        <w:t>S.</w:t>
      </w:r>
      <w:r w:rsidR="00605C7B">
        <w:t xml:space="preserve">  This is further broken down into:</w:t>
      </w:r>
    </w:p>
    <w:p w:rsidR="009D7952" w:rsidRDefault="00C7578A" w:rsidP="009D7952">
      <w:pPr>
        <w:pStyle w:val="BodyTextBulletted"/>
        <w:numPr>
          <w:ilvl w:val="1"/>
          <w:numId w:val="2"/>
        </w:numPr>
      </w:pPr>
      <w:r>
        <w:t>Payments for non-market output</w:t>
      </w:r>
    </w:p>
    <w:p w:rsidR="0022114D" w:rsidRDefault="0022114D" w:rsidP="00C7578A">
      <w:pPr>
        <w:pStyle w:val="BodyTextBulletted"/>
        <w:numPr>
          <w:ilvl w:val="1"/>
          <w:numId w:val="2"/>
        </w:numPr>
      </w:pPr>
      <w:r>
        <w:t xml:space="preserve">Non-market output provided </w:t>
      </w:r>
      <w:r w:rsidR="009D7952">
        <w:t>free of charge</w:t>
      </w:r>
    </w:p>
    <w:p w:rsidR="007E78D8" w:rsidRDefault="007E78D8" w:rsidP="007E78D8">
      <w:pPr>
        <w:pStyle w:val="BodyTextBulletted"/>
        <w:numPr>
          <w:ilvl w:val="0"/>
          <w:numId w:val="0"/>
        </w:numPr>
        <w:ind w:left="927" w:hanging="360"/>
      </w:pPr>
    </w:p>
    <w:p w:rsidR="00116EEC" w:rsidRDefault="00116EEC" w:rsidP="007E78D8">
      <w:pPr>
        <w:pStyle w:val="BodyText"/>
      </w:pPr>
      <w:r w:rsidRPr="0047044B">
        <w:t>Since this output is not sold at market prices, it is difficult to value it</w:t>
      </w:r>
      <w:r w:rsidR="009F1889">
        <w:t xml:space="preserve"> appropriately</w:t>
      </w:r>
      <w:r w:rsidRPr="0047044B">
        <w:t xml:space="preserve">. </w:t>
      </w:r>
      <w:r w:rsidR="001D42C1">
        <w:t>C</w:t>
      </w:r>
      <w:r w:rsidR="009F1889">
        <w:t xml:space="preserve">onventionally, </w:t>
      </w:r>
      <w:r w:rsidR="00C7578A">
        <w:t xml:space="preserve">under ESA 1995, </w:t>
      </w:r>
      <w:r w:rsidRPr="0047044B">
        <w:t xml:space="preserve">the output </w:t>
      </w:r>
      <w:r w:rsidR="009F1889">
        <w:t xml:space="preserve">has a value equal to the </w:t>
      </w:r>
      <w:r w:rsidRPr="0047044B">
        <w:t xml:space="preserve">total </w:t>
      </w:r>
      <w:r w:rsidR="001D42C1">
        <w:t>sum</w:t>
      </w:r>
      <w:r w:rsidRPr="0047044B">
        <w:t xml:space="preserve"> of inputs (both intermediate consumption and primary </w:t>
      </w:r>
      <w:r w:rsidR="00D719C0" w:rsidRPr="0047044B">
        <w:t>inputs</w:t>
      </w:r>
      <w:r w:rsidR="00C35497">
        <w:t>, with an estimate of capital consumption as the only component of GOS</w:t>
      </w:r>
      <w:r w:rsidR="00D719C0" w:rsidRPr="0047044B">
        <w:t>) use</w:t>
      </w:r>
      <w:r w:rsidR="009F1889">
        <w:t>d</w:t>
      </w:r>
      <w:r w:rsidR="00D719C0" w:rsidRPr="0047044B">
        <w:t xml:space="preserve"> in their production.  </w:t>
      </w:r>
      <w:r w:rsidR="00657846" w:rsidRPr="0047044B">
        <w:t>Input costs are</w:t>
      </w:r>
      <w:r w:rsidR="00CD61CB" w:rsidRPr="0047044B">
        <w:t xml:space="preserve"> estimated during the construction of the Use </w:t>
      </w:r>
      <w:r w:rsidR="001D42C1">
        <w:t>T</w:t>
      </w:r>
      <w:r w:rsidR="00912FD8">
        <w:t>able</w:t>
      </w:r>
      <w:r w:rsidR="00912FD8" w:rsidRPr="0047044B">
        <w:t xml:space="preserve"> </w:t>
      </w:r>
      <w:r w:rsidR="00CD61CB" w:rsidRPr="0047044B">
        <w:t xml:space="preserve">and then combined with the information on market producers in the </w:t>
      </w:r>
      <w:r w:rsidR="001D42C1">
        <w:t>Supply T</w:t>
      </w:r>
      <w:r w:rsidR="00912FD8">
        <w:t>able</w:t>
      </w:r>
      <w:r w:rsidR="00516139">
        <w:rPr>
          <w:rStyle w:val="FootnoteReference"/>
        </w:rPr>
        <w:footnoteReference w:id="11"/>
      </w:r>
      <w:r w:rsidR="00CD61CB" w:rsidRPr="0047044B">
        <w:t>.</w:t>
      </w:r>
      <w:r w:rsidR="00C7578A">
        <w:t xml:space="preserve">  However, under ESA 2010 the distinction between paid for and unpaid for other non-market output becomes more significant, and paid for other non-market output is now valued at the payment received.  The sum-of-costs valuation </w:t>
      </w:r>
      <w:r w:rsidR="00C35497">
        <w:t>with payments for non-market output subtracted off is used</w:t>
      </w:r>
      <w:r w:rsidR="00C7578A">
        <w:t xml:space="preserve"> </w:t>
      </w:r>
      <w:r w:rsidR="00C35497">
        <w:t>for</w:t>
      </w:r>
      <w:r w:rsidR="00C7578A">
        <w:t xml:space="preserve"> non-market output</w:t>
      </w:r>
      <w:r w:rsidR="00C35497">
        <w:t xml:space="preserve"> provided free of charge</w:t>
      </w:r>
      <w:r w:rsidR="00C7578A">
        <w:t>.</w:t>
      </w:r>
    </w:p>
    <w:p w:rsidR="00E3599D" w:rsidRPr="0047044B" w:rsidRDefault="00441073" w:rsidP="003575B0">
      <w:pPr>
        <w:pStyle w:val="Heading2"/>
      </w:pPr>
      <w:r>
        <w:br w:type="page"/>
      </w:r>
      <w:bookmarkStart w:id="101" w:name="_Toc290646638"/>
      <w:bookmarkStart w:id="102" w:name="_Toc290647168"/>
      <w:bookmarkStart w:id="103" w:name="_Toc290647215"/>
      <w:bookmarkStart w:id="104" w:name="_Toc292468948"/>
      <w:bookmarkStart w:id="105" w:name="_Toc497137003"/>
      <w:r w:rsidR="002B6FE1" w:rsidRPr="0047044B">
        <w:lastRenderedPageBreak/>
        <w:t xml:space="preserve">Construction of the </w:t>
      </w:r>
      <w:r w:rsidR="00090CBC" w:rsidRPr="0047044B">
        <w:t xml:space="preserve">Initial </w:t>
      </w:r>
      <w:r w:rsidR="002B6FE1" w:rsidRPr="0047044B">
        <w:t xml:space="preserve">Combined Use </w:t>
      </w:r>
      <w:r w:rsidR="00FC3AFC">
        <w:t>T</w:t>
      </w:r>
      <w:r w:rsidR="002B6FE1" w:rsidRPr="0047044B">
        <w:t>able</w:t>
      </w:r>
      <w:bookmarkEnd w:id="101"/>
      <w:bookmarkEnd w:id="102"/>
      <w:bookmarkEnd w:id="103"/>
      <w:bookmarkEnd w:id="104"/>
      <w:bookmarkEnd w:id="105"/>
    </w:p>
    <w:p w:rsidR="00363C24" w:rsidRPr="0047044B" w:rsidRDefault="00363C24" w:rsidP="003575B0">
      <w:pPr>
        <w:pStyle w:val="Heading3"/>
      </w:pPr>
      <w:bookmarkStart w:id="106" w:name="_Toc290646639"/>
      <w:bookmarkStart w:id="107" w:name="_Toc290647169"/>
      <w:bookmarkStart w:id="108" w:name="_Toc290647216"/>
      <w:bookmarkStart w:id="109" w:name="_Toc292468949"/>
      <w:bookmarkStart w:id="110" w:name="_Toc497137004"/>
      <w:r w:rsidRPr="0047044B">
        <w:t>Intermediate demand</w:t>
      </w:r>
      <w:bookmarkEnd w:id="106"/>
      <w:bookmarkEnd w:id="107"/>
      <w:bookmarkEnd w:id="108"/>
      <w:bookmarkEnd w:id="109"/>
      <w:bookmarkEnd w:id="110"/>
    </w:p>
    <w:p w:rsidR="002B6FE1" w:rsidRPr="0047044B" w:rsidRDefault="00205E75" w:rsidP="007E78D8">
      <w:pPr>
        <w:pStyle w:val="BodyText"/>
      </w:pPr>
      <w:r w:rsidRPr="0047044B">
        <w:t xml:space="preserve">If the </w:t>
      </w:r>
      <w:r w:rsidR="00A13D0F" w:rsidRPr="0047044B">
        <w:t xml:space="preserve">domestic </w:t>
      </w:r>
      <w:r w:rsidR="00746DCD">
        <w:t xml:space="preserve">output part of the </w:t>
      </w:r>
      <w:r w:rsidR="00A13D0F" w:rsidRPr="0047044B">
        <w:t>Supply Table at basic prices</w:t>
      </w:r>
      <w:r w:rsidRPr="0047044B">
        <w:t xml:space="preserve"> is thought of as showing the composition of industries’ outputs by </w:t>
      </w:r>
      <w:r w:rsidR="00A13D0F" w:rsidRPr="0047044B">
        <w:t>product</w:t>
      </w:r>
      <w:r w:rsidRPr="0047044B">
        <w:t>,</w:t>
      </w:r>
      <w:r w:rsidR="00746DCD">
        <w:t xml:space="preserve"> the left hand side of the Use T</w:t>
      </w:r>
      <w:r w:rsidRPr="0047044B">
        <w:t>able can be thought of as showing the comp</w:t>
      </w:r>
      <w:r w:rsidR="009714B3" w:rsidRPr="0047044B">
        <w:t>osition of industries’ inputs.</w:t>
      </w:r>
    </w:p>
    <w:p w:rsidR="009714B3" w:rsidRPr="0047044B" w:rsidRDefault="009714B3" w:rsidP="007E78D8">
      <w:pPr>
        <w:pStyle w:val="BodyText"/>
      </w:pPr>
      <w:r w:rsidRPr="0047044B">
        <w:t xml:space="preserve">The columns </w:t>
      </w:r>
      <w:r w:rsidR="00746DCD">
        <w:t xml:space="preserve">shown </w:t>
      </w:r>
      <w:r w:rsidR="0016784D">
        <w:t>in the</w:t>
      </w:r>
      <w:r w:rsidRPr="0047044B">
        <w:t xml:space="preserve"> intermediate </w:t>
      </w:r>
      <w:r w:rsidR="00746DCD">
        <w:t>demand part of the table</w:t>
      </w:r>
      <w:r w:rsidRPr="0047044B">
        <w:t xml:space="preserve"> list the goods and services each industry uses in order to produce its output (as described by the corresponding industry column in the </w:t>
      </w:r>
      <w:r w:rsidR="00912FD8">
        <w:t xml:space="preserve">Supply </w:t>
      </w:r>
      <w:r w:rsidR="00746DCD">
        <w:t>T</w:t>
      </w:r>
      <w:r w:rsidR="00CF35FC">
        <w:t>able</w:t>
      </w:r>
      <w:r w:rsidRPr="0047044B">
        <w:t>).  The column totals give the total intermediate consumption of each industry.</w:t>
      </w:r>
      <w:r w:rsidR="00C53600" w:rsidRPr="0047044B">
        <w:t xml:space="preserve">  The row totals give the total Scottish intermediate demand for each product category.</w:t>
      </w:r>
    </w:p>
    <w:p w:rsidR="009714B3" w:rsidRPr="0047044B" w:rsidRDefault="009714B3" w:rsidP="007E78D8">
      <w:pPr>
        <w:pStyle w:val="BodyText"/>
      </w:pPr>
      <w:r w:rsidRPr="0047044B">
        <w:t xml:space="preserve">The difference between the value of </w:t>
      </w:r>
      <w:r w:rsidR="00F50257" w:rsidRPr="0047044B">
        <w:t xml:space="preserve">industry output at basic prices (which are the column totals of the </w:t>
      </w:r>
      <w:r w:rsidR="00CF35FC">
        <w:t>Supply table</w:t>
      </w:r>
      <w:r w:rsidR="00F50257" w:rsidRPr="0047044B">
        <w:t>) and the value of industry intermediate consumption at purchasers’ prices is Gross Value Added (GVA), which we treat as</w:t>
      </w:r>
      <w:r w:rsidR="00746DCD">
        <w:t xml:space="preserve"> an input in the Supply and </w:t>
      </w:r>
      <w:r w:rsidR="00F50257" w:rsidRPr="0047044B">
        <w:t xml:space="preserve">Use framework.  GVA itself can be split into three components: Taxes less Subsidies on Production, Compensation of Employees, and Gross Operating Surplus.  These make up the Primary Inputs table, which appears below the intermediate consumption </w:t>
      </w:r>
      <w:r w:rsidR="00746DCD">
        <w:t>part of the Use T</w:t>
      </w:r>
      <w:r w:rsidR="00F50257" w:rsidRPr="0047044B">
        <w:t xml:space="preserve">able so that the column totals by industry </w:t>
      </w:r>
      <w:r w:rsidR="00746DCD">
        <w:t xml:space="preserve">in the Use Table </w:t>
      </w:r>
      <w:r w:rsidR="00F50257" w:rsidRPr="0047044B">
        <w:t>sum to total output by industry.</w:t>
      </w:r>
    </w:p>
    <w:p w:rsidR="003B7A69" w:rsidRPr="0047044B" w:rsidRDefault="00F50257" w:rsidP="007E78D8">
      <w:pPr>
        <w:pStyle w:val="BodyText"/>
      </w:pPr>
      <w:r w:rsidRPr="0047044B">
        <w:t xml:space="preserve">When the Use and </w:t>
      </w:r>
      <w:r w:rsidR="00FB473B" w:rsidRPr="0047044B">
        <w:t xml:space="preserve">Supply </w:t>
      </w:r>
      <w:r w:rsidR="00746DCD">
        <w:t>T</w:t>
      </w:r>
      <w:r w:rsidRPr="0047044B">
        <w:t xml:space="preserve">ables are balanced by industry then the column totals of the </w:t>
      </w:r>
      <w:r w:rsidR="00A13D0F" w:rsidRPr="0047044B">
        <w:t>domestic Supply Table at basic prices</w:t>
      </w:r>
      <w:r w:rsidRPr="0047044B">
        <w:t xml:space="preserve"> </w:t>
      </w:r>
      <w:r w:rsidR="003B7A69" w:rsidRPr="0047044B">
        <w:t xml:space="preserve">(outputs by industry) </w:t>
      </w:r>
      <w:r w:rsidRPr="0047044B">
        <w:t xml:space="preserve">will equal the column totals of the left hand side of the Use </w:t>
      </w:r>
      <w:r w:rsidR="00746DCD">
        <w:t>T</w:t>
      </w:r>
      <w:r w:rsidR="00CF35FC">
        <w:t>able</w:t>
      </w:r>
      <w:r w:rsidR="00CF35FC" w:rsidRPr="0047044B">
        <w:t xml:space="preserve"> </w:t>
      </w:r>
      <w:r w:rsidR="003B7A69" w:rsidRPr="0047044B">
        <w:t>(inputs by industry)</w:t>
      </w:r>
      <w:r w:rsidRPr="0047044B">
        <w:t>.</w:t>
      </w:r>
      <w:r w:rsidR="00024357" w:rsidRPr="0047044B">
        <w:t xml:space="preserve">  The requirement that these column totals match </w:t>
      </w:r>
      <w:r w:rsidR="003B7A69" w:rsidRPr="0047044B">
        <w:t xml:space="preserve">and thus inputs equal outputs by industry </w:t>
      </w:r>
      <w:r w:rsidR="00024357" w:rsidRPr="0047044B">
        <w:t>is called the industry balance</w:t>
      </w:r>
      <w:r w:rsidR="003B7A69" w:rsidRPr="0047044B">
        <w:t xml:space="preserve"> condition</w:t>
      </w:r>
      <w:r w:rsidR="00024357" w:rsidRPr="0047044B">
        <w:t xml:space="preserve">.  </w:t>
      </w:r>
    </w:p>
    <w:p w:rsidR="00F50257" w:rsidRPr="0047044B" w:rsidRDefault="003B7A69" w:rsidP="007E78D8">
      <w:pPr>
        <w:pStyle w:val="BodyText"/>
      </w:pPr>
      <w:r w:rsidRPr="0047044B">
        <w:t xml:space="preserve">When the full tables have been constructed and fully balanced, it will allow a second condition that the </w:t>
      </w:r>
      <w:r w:rsidR="00746DCD">
        <w:t xml:space="preserve">product </w:t>
      </w:r>
      <w:r w:rsidRPr="0047044B">
        <w:t xml:space="preserve">row sums of the Supply and Combined Use tables are equal for each product to hold; this is called the product balance condition, and ensures that </w:t>
      </w:r>
      <w:r w:rsidR="00746DCD">
        <w:t>total</w:t>
      </w:r>
      <w:r w:rsidRPr="0047044B">
        <w:t xml:space="preserve"> demand for products is equal to total supply (i.e. domestic supply plus imported supply) of products.</w:t>
      </w:r>
    </w:p>
    <w:p w:rsidR="003575B0" w:rsidRDefault="003B7A69" w:rsidP="00732511">
      <w:pPr>
        <w:pStyle w:val="BodyText"/>
      </w:pPr>
      <w:r w:rsidRPr="0047044B">
        <w:t xml:space="preserve">Data on total purchases of goods and services </w:t>
      </w:r>
      <w:r w:rsidR="00894B9A" w:rsidRPr="0047044B">
        <w:t xml:space="preserve">(giving us our total intermediate consumption by industry) </w:t>
      </w:r>
      <w:r w:rsidR="00732511">
        <w:t>are</w:t>
      </w:r>
      <w:r w:rsidRPr="0047044B">
        <w:t xml:space="preserve"> available from the ABS, as well as data on GVA and its components</w:t>
      </w:r>
      <w:r w:rsidR="00894B9A" w:rsidRPr="0047044B">
        <w:t xml:space="preserve"> (giving us our breakdown of primary inputs by industry).  </w:t>
      </w:r>
      <w:r w:rsidR="00732511">
        <w:t>T</w:t>
      </w:r>
      <w:r w:rsidR="00894B9A" w:rsidRPr="0047044B">
        <w:t xml:space="preserve">he ABS questions also provide some detail </w:t>
      </w:r>
      <w:r w:rsidR="00732511">
        <w:t xml:space="preserve">to allow an estimate of the intermediate consumption subtotal for goods and materials. </w:t>
      </w:r>
    </w:p>
    <w:p w:rsidR="00CA4350" w:rsidRPr="00732511" w:rsidRDefault="00CA4350" w:rsidP="007E78D8">
      <w:pPr>
        <w:pStyle w:val="BodyText"/>
      </w:pPr>
      <w:r w:rsidRPr="0047044B">
        <w:t>The next stage is to disaggregate the ABS purchasing categories to the full product level used in t</w:t>
      </w:r>
      <w:r w:rsidR="00FC3AFC">
        <w:t>he Supply and Use T</w:t>
      </w:r>
      <w:r w:rsidRPr="0047044B">
        <w:t xml:space="preserve">ables.  The preferred approach is to use detailed information on purchases by companies operating in Scotland from the ONS Purchases Inquiry to disaggregate each of the ABS purchase variables across the IOCs which contribute to them.  </w:t>
      </w:r>
      <w:r w:rsidR="00B314E3" w:rsidRPr="0047044B">
        <w:t>However, some industries are not covered by the Purchase Inquiry, or if they are, the sample size is too small to get an accurate picture of purchases for Scottish companies in that industry; where this is the case, other data sources (if available) may be used, or in their absence propo</w:t>
      </w:r>
      <w:r w:rsidR="00FC3AFC">
        <w:t>rtions derived from the UK Use T</w:t>
      </w:r>
      <w:r w:rsidR="00B314E3" w:rsidRPr="0047044B">
        <w:t>able may be used.</w:t>
      </w:r>
    </w:p>
    <w:p w:rsidR="00002739" w:rsidRDefault="00B314E3" w:rsidP="007E78D8">
      <w:pPr>
        <w:pStyle w:val="BodyText"/>
      </w:pPr>
      <w:r w:rsidRPr="0047044B">
        <w:t xml:space="preserve">A final check is made to ensure that the estimated cells in the intermediate consumption </w:t>
      </w:r>
      <w:r w:rsidR="00FC3AFC">
        <w:t>part of the Use Table</w:t>
      </w:r>
      <w:r w:rsidRPr="0047044B">
        <w:t xml:space="preserve"> look sensible when compared to the UK (i.e. they do not represent an unreasonably small or large proportion of the corresponding UK cells).</w:t>
      </w:r>
    </w:p>
    <w:p w:rsidR="00865341" w:rsidRDefault="00865341">
      <w:pPr>
        <w:rPr>
          <w:rFonts w:cs="Arial"/>
          <w:b/>
          <w:bCs/>
          <w:color w:val="666699"/>
          <w:sz w:val="24"/>
          <w:szCs w:val="26"/>
        </w:rPr>
      </w:pPr>
      <w:bookmarkStart w:id="111" w:name="_Toc290646640"/>
      <w:bookmarkStart w:id="112" w:name="_Toc290647170"/>
      <w:bookmarkStart w:id="113" w:name="_Toc290647217"/>
      <w:bookmarkStart w:id="114" w:name="_Toc292468950"/>
      <w:r>
        <w:br w:type="page"/>
      </w:r>
    </w:p>
    <w:p w:rsidR="00363C24" w:rsidRPr="0047044B" w:rsidRDefault="00363C24" w:rsidP="00441073">
      <w:pPr>
        <w:pStyle w:val="Heading3"/>
      </w:pPr>
      <w:bookmarkStart w:id="115" w:name="_Toc497137005"/>
      <w:r w:rsidRPr="0047044B">
        <w:lastRenderedPageBreak/>
        <w:t>Final Demand</w:t>
      </w:r>
      <w:bookmarkEnd w:id="111"/>
      <w:bookmarkEnd w:id="112"/>
      <w:bookmarkEnd w:id="113"/>
      <w:bookmarkEnd w:id="114"/>
      <w:bookmarkEnd w:id="115"/>
    </w:p>
    <w:p w:rsidR="00C53600" w:rsidRPr="0047044B" w:rsidRDefault="00B314E3" w:rsidP="007E78D8">
      <w:pPr>
        <w:pStyle w:val="BodyText"/>
      </w:pPr>
      <w:r w:rsidRPr="0047044B">
        <w:t xml:space="preserve">We can now turn our attention to the </w:t>
      </w:r>
      <w:r w:rsidR="009C0F38">
        <w:t>final demand section</w:t>
      </w:r>
      <w:r w:rsidR="00FC3AFC">
        <w:t xml:space="preserve"> of the Use T</w:t>
      </w:r>
      <w:r w:rsidRPr="0047044B">
        <w:t>able</w:t>
      </w:r>
      <w:r w:rsidR="009C0F38">
        <w:t>.</w:t>
      </w:r>
    </w:p>
    <w:p w:rsidR="00C53600" w:rsidRPr="0047044B" w:rsidRDefault="00C53600" w:rsidP="003575B0">
      <w:pPr>
        <w:pStyle w:val="Heading4"/>
      </w:pPr>
      <w:r w:rsidRPr="0047044B">
        <w:t>Final Consumption Expenditure</w:t>
      </w:r>
    </w:p>
    <w:p w:rsidR="00C53600" w:rsidRPr="0047044B" w:rsidRDefault="001E7DDA" w:rsidP="007E78D8">
      <w:pPr>
        <w:pStyle w:val="BodyTextBulletted"/>
      </w:pPr>
      <w:r w:rsidRPr="0047044B">
        <w:t>b</w:t>
      </w:r>
      <w:r w:rsidR="00C53600" w:rsidRPr="0047044B">
        <w:t xml:space="preserve">y </w:t>
      </w:r>
      <w:r w:rsidR="009568E0" w:rsidRPr="0047044B">
        <w:t>domestic h</w:t>
      </w:r>
      <w:r w:rsidR="00C53600" w:rsidRPr="0047044B">
        <w:t>ouseholds</w:t>
      </w:r>
    </w:p>
    <w:p w:rsidR="00C53600" w:rsidRPr="0047044B" w:rsidRDefault="001E7DDA" w:rsidP="007E78D8">
      <w:pPr>
        <w:pStyle w:val="BodyTextBulletted"/>
      </w:pPr>
      <w:r w:rsidRPr="0047044B">
        <w:t>b</w:t>
      </w:r>
      <w:r w:rsidR="00C53600" w:rsidRPr="0047044B">
        <w:t>y Non-Profit Institutions Serving Households (</w:t>
      </w:r>
      <w:proofErr w:type="spellStart"/>
      <w:r w:rsidR="00C53600" w:rsidRPr="0047044B">
        <w:t>NPISHs</w:t>
      </w:r>
      <w:proofErr w:type="spellEnd"/>
      <w:r w:rsidR="00C53600" w:rsidRPr="0047044B">
        <w:t>)</w:t>
      </w:r>
    </w:p>
    <w:p w:rsidR="009568E0" w:rsidRPr="0047044B" w:rsidRDefault="009568E0" w:rsidP="007E78D8">
      <w:pPr>
        <w:pStyle w:val="BodyTextBulletted"/>
      </w:pPr>
      <w:r w:rsidRPr="0047044B">
        <w:t>by Non-resident households (e.g. tourists)</w:t>
      </w:r>
    </w:p>
    <w:p w:rsidR="00C53600" w:rsidRPr="0047044B" w:rsidRDefault="001E7DDA" w:rsidP="007E78D8">
      <w:pPr>
        <w:pStyle w:val="BodyTextBulletted"/>
      </w:pPr>
      <w:r w:rsidRPr="0047044B">
        <w:t>by Central Government</w:t>
      </w:r>
    </w:p>
    <w:p w:rsidR="001E7DDA" w:rsidRPr="0047044B" w:rsidRDefault="001E7DDA" w:rsidP="007E78D8">
      <w:pPr>
        <w:pStyle w:val="BodyTextBulletted"/>
      </w:pPr>
      <w:r w:rsidRPr="0047044B">
        <w:t>by Local Government</w:t>
      </w:r>
      <w:r w:rsidR="003E4491">
        <w:t>.</w:t>
      </w:r>
    </w:p>
    <w:p w:rsidR="001E7DDA" w:rsidRPr="0047044B" w:rsidRDefault="001E7DDA" w:rsidP="003575B0">
      <w:pPr>
        <w:pStyle w:val="Heading4"/>
      </w:pPr>
      <w:r w:rsidRPr="0047044B">
        <w:t>Gross Capital Formation</w:t>
      </w:r>
    </w:p>
    <w:p w:rsidR="001E7DDA" w:rsidRPr="0047044B" w:rsidRDefault="001E7DDA" w:rsidP="007E78D8">
      <w:pPr>
        <w:pStyle w:val="BodyTextBulletted"/>
      </w:pPr>
      <w:r w:rsidRPr="0047044B">
        <w:t>Gross Fixed Capital Formation</w:t>
      </w:r>
    </w:p>
    <w:p w:rsidR="001E7DDA" w:rsidRPr="0047044B" w:rsidRDefault="001E7DDA" w:rsidP="007E78D8">
      <w:pPr>
        <w:pStyle w:val="BodyTextBulletted"/>
      </w:pPr>
      <w:r w:rsidRPr="0047044B">
        <w:t>Valuables</w:t>
      </w:r>
    </w:p>
    <w:p w:rsidR="001E7DDA" w:rsidRPr="0047044B" w:rsidRDefault="001E7DDA" w:rsidP="007E78D8">
      <w:pPr>
        <w:pStyle w:val="BodyTextBulletted"/>
      </w:pPr>
      <w:r w:rsidRPr="0047044B">
        <w:t>Change in Inventories</w:t>
      </w:r>
      <w:r w:rsidR="003E4491">
        <w:t>.</w:t>
      </w:r>
    </w:p>
    <w:p w:rsidR="001E7DDA" w:rsidRPr="0047044B" w:rsidRDefault="001E7DDA" w:rsidP="003575B0">
      <w:pPr>
        <w:pStyle w:val="Heading4"/>
      </w:pPr>
      <w:r w:rsidRPr="0047044B">
        <w:t>Exports</w:t>
      </w:r>
    </w:p>
    <w:p w:rsidR="001E7DDA" w:rsidRPr="0047044B" w:rsidRDefault="001E7DDA" w:rsidP="007E78D8">
      <w:pPr>
        <w:pStyle w:val="BodyTextBulletted"/>
      </w:pPr>
      <w:r w:rsidRPr="0047044B">
        <w:t>to the Rest of the UK (RUK exports)</w:t>
      </w:r>
    </w:p>
    <w:p w:rsidR="001E7DDA" w:rsidRDefault="001E7DDA" w:rsidP="007E78D8">
      <w:pPr>
        <w:pStyle w:val="BodyTextBulletted"/>
      </w:pPr>
      <w:r w:rsidRPr="0047044B">
        <w:t>to the Rest of the World (RoW exports)</w:t>
      </w:r>
      <w:r w:rsidR="003E4491">
        <w:t>.</w:t>
      </w:r>
    </w:p>
    <w:p w:rsidR="00157B9A" w:rsidRPr="0047044B" w:rsidRDefault="00157B9A" w:rsidP="00157B9A">
      <w:pPr>
        <w:pStyle w:val="Heading3"/>
      </w:pPr>
      <w:bookmarkStart w:id="116" w:name="_Toc290646641"/>
      <w:bookmarkStart w:id="117" w:name="_Toc290647171"/>
      <w:bookmarkStart w:id="118" w:name="_Toc290647218"/>
      <w:bookmarkStart w:id="119" w:name="_Toc292468951"/>
      <w:bookmarkStart w:id="120" w:name="_Toc497137006"/>
      <w:r w:rsidRPr="0047044B">
        <w:t>Final Consumption Expenditure</w:t>
      </w:r>
      <w:bookmarkEnd w:id="116"/>
      <w:bookmarkEnd w:id="117"/>
      <w:bookmarkEnd w:id="118"/>
      <w:bookmarkEnd w:id="119"/>
      <w:bookmarkEnd w:id="120"/>
    </w:p>
    <w:p w:rsidR="0021008D" w:rsidRPr="0047044B" w:rsidRDefault="0021008D" w:rsidP="00157B9A">
      <w:pPr>
        <w:pStyle w:val="Heading4"/>
      </w:pPr>
      <w:r w:rsidRPr="0047044B">
        <w:t xml:space="preserve">Household </w:t>
      </w:r>
      <w:r w:rsidR="00562661" w:rsidRPr="0047044B">
        <w:t>Final Consumption Expenditure (</w:t>
      </w:r>
      <w:proofErr w:type="spellStart"/>
      <w:r w:rsidRPr="0047044B">
        <w:t>H</w:t>
      </w:r>
      <w:r w:rsidR="00FC3AFC">
        <w:t>HFCe</w:t>
      </w:r>
      <w:proofErr w:type="spellEnd"/>
      <w:r w:rsidRPr="0047044B">
        <w:t>)</w:t>
      </w:r>
    </w:p>
    <w:p w:rsidR="0021008D" w:rsidRPr="0047044B" w:rsidRDefault="00407BCF" w:rsidP="0032323B">
      <w:pPr>
        <w:pStyle w:val="BodyText"/>
      </w:pPr>
      <w:r w:rsidRPr="0047044B">
        <w:t xml:space="preserve">The starting point for this column is a </w:t>
      </w:r>
      <w:r w:rsidR="0025361B">
        <w:t xml:space="preserve">regional split of ONS published UK </w:t>
      </w:r>
      <w:proofErr w:type="spellStart"/>
      <w:r w:rsidR="0025361B">
        <w:t>HHFCe</w:t>
      </w:r>
      <w:proofErr w:type="spellEnd"/>
      <w:r w:rsidR="0025361B">
        <w:t xml:space="preserve"> produced by colleagues working on the </w:t>
      </w:r>
      <w:hyperlink r:id="rId30" w:history="1">
        <w:r w:rsidR="0025361B" w:rsidRPr="00A03126">
          <w:rPr>
            <w:rStyle w:val="Hyperlink"/>
          </w:rPr>
          <w:t>Scottish National Accounts Programme</w:t>
        </w:r>
        <w:r w:rsidR="00A03126" w:rsidRPr="00A03126">
          <w:rPr>
            <w:rStyle w:val="Hyperlink"/>
          </w:rPr>
          <w:t xml:space="preserve"> (SNAP)</w:t>
        </w:r>
      </w:hyperlink>
      <w:r w:rsidR="0032323B">
        <w:rPr>
          <w:rStyle w:val="FootnoteReference"/>
          <w:rFonts w:cs="Arial"/>
        </w:rPr>
        <w:footnoteReference w:id="12"/>
      </w:r>
      <w:r w:rsidR="0021008D" w:rsidRPr="0047044B">
        <w:t xml:space="preserve">.  These data provide estimates of total </w:t>
      </w:r>
      <w:r w:rsidRPr="0047044B">
        <w:t xml:space="preserve">household final consumption expenditure for Scotland classified by COICOP (Classification of Individual Consumption </w:t>
      </w:r>
      <w:r w:rsidR="007413FF" w:rsidRPr="0047044B">
        <w:t>a</w:t>
      </w:r>
      <w:r w:rsidRPr="0047044B">
        <w:t xml:space="preserve">ccording to Purpose).  We convert this to a classification by product IOC using </w:t>
      </w:r>
      <w:r w:rsidR="00562661" w:rsidRPr="0047044B">
        <w:t xml:space="preserve">the UK </w:t>
      </w:r>
      <w:r w:rsidR="002B623D" w:rsidRPr="0047044B">
        <w:t>H</w:t>
      </w:r>
      <w:r w:rsidR="005B73C1" w:rsidRPr="0047044B">
        <w:t>ousehol</w:t>
      </w:r>
      <w:r w:rsidR="005521A9" w:rsidRPr="0047044B">
        <w:t>d</w:t>
      </w:r>
      <w:r w:rsidR="005B73C1" w:rsidRPr="0047044B">
        <w:t xml:space="preserve"> </w:t>
      </w:r>
      <w:r w:rsidR="002B623D" w:rsidRPr="0047044B">
        <w:t>F</w:t>
      </w:r>
      <w:r w:rsidR="005B73C1" w:rsidRPr="0047044B">
        <w:t xml:space="preserve">inal </w:t>
      </w:r>
      <w:r w:rsidR="002B623D" w:rsidRPr="0047044B">
        <w:t>C</w:t>
      </w:r>
      <w:r w:rsidR="005B73C1" w:rsidRPr="0047044B">
        <w:t xml:space="preserve">onsumption </w:t>
      </w:r>
      <w:r w:rsidR="002B623D" w:rsidRPr="0047044B">
        <w:t>E</w:t>
      </w:r>
      <w:r w:rsidR="005B73C1" w:rsidRPr="0047044B">
        <w:t>xpenditure</w:t>
      </w:r>
      <w:r w:rsidR="002B623D" w:rsidRPr="0047044B">
        <w:t xml:space="preserve"> table linking these two classifications (listed as Use Table number 3 in the current </w:t>
      </w:r>
      <w:r w:rsidR="002B623D" w:rsidRPr="0032323B">
        <w:rPr>
          <w:rFonts w:cs="Arial"/>
        </w:rPr>
        <w:t xml:space="preserve">UK </w:t>
      </w:r>
      <w:r w:rsidR="005521A9" w:rsidRPr="0032323B">
        <w:rPr>
          <w:rFonts w:cs="Arial"/>
        </w:rPr>
        <w:t xml:space="preserve">IO </w:t>
      </w:r>
      <w:r w:rsidR="002B623D" w:rsidRPr="0032323B">
        <w:rPr>
          <w:rFonts w:cs="Arial"/>
        </w:rPr>
        <w:t>publication</w:t>
      </w:r>
      <w:r w:rsidR="0032323B">
        <w:rPr>
          <w:rStyle w:val="FootnoteReference"/>
          <w:rFonts w:cs="Arial"/>
        </w:rPr>
        <w:footnoteReference w:id="13"/>
      </w:r>
      <w:r w:rsidR="002B623D" w:rsidRPr="0047044B">
        <w:t>).</w:t>
      </w:r>
      <w:r w:rsidRPr="0047044B">
        <w:t xml:space="preserve"> </w:t>
      </w:r>
    </w:p>
    <w:p w:rsidR="00021856" w:rsidRPr="0047044B" w:rsidRDefault="00021856" w:rsidP="00157B9A">
      <w:pPr>
        <w:pStyle w:val="Heading4"/>
      </w:pPr>
      <w:r w:rsidRPr="0047044B">
        <w:t>Government Final Consumption Expenditure</w:t>
      </w:r>
    </w:p>
    <w:p w:rsidR="00021856" w:rsidRPr="0047044B" w:rsidRDefault="00021856" w:rsidP="009610B5">
      <w:pPr>
        <w:pStyle w:val="BodyText"/>
      </w:pPr>
      <w:r w:rsidRPr="0047044B">
        <w:t xml:space="preserve">This is discussed later in the section </w:t>
      </w:r>
      <w:r w:rsidR="00944282" w:rsidRPr="0047044B">
        <w:t>on</w:t>
      </w:r>
      <w:r w:rsidRPr="0047044B">
        <w:t xml:space="preserve"> </w:t>
      </w:r>
      <w:r w:rsidR="00804F46" w:rsidRPr="0047044B">
        <w:t>‘</w:t>
      </w:r>
      <w:r w:rsidRPr="0047044B">
        <w:t>The treat</w:t>
      </w:r>
      <w:r w:rsidR="00944282" w:rsidRPr="0047044B">
        <w:t>ment of government</w:t>
      </w:r>
      <w:r w:rsidR="00804F46" w:rsidRPr="0047044B">
        <w:t>’</w:t>
      </w:r>
      <w:r w:rsidRPr="0047044B">
        <w:t>.</w:t>
      </w:r>
    </w:p>
    <w:p w:rsidR="00657846" w:rsidRPr="0047044B" w:rsidRDefault="00657846" w:rsidP="00157B9A">
      <w:pPr>
        <w:pStyle w:val="Heading4"/>
      </w:pPr>
      <w:r w:rsidRPr="0047044B">
        <w:t>N</w:t>
      </w:r>
      <w:r w:rsidR="003575B0">
        <w:t xml:space="preserve">on-Profit Institutions Serving Households (NPISH) </w:t>
      </w:r>
      <w:r w:rsidRPr="0047044B">
        <w:t>Final Consumption</w:t>
      </w:r>
      <w:r w:rsidR="00AB5232" w:rsidRPr="0047044B">
        <w:t xml:space="preserve"> Expenditure</w:t>
      </w:r>
    </w:p>
    <w:p w:rsidR="00021856" w:rsidRPr="0047044B" w:rsidRDefault="00441073" w:rsidP="0032323B">
      <w:pPr>
        <w:pStyle w:val="BodyText"/>
      </w:pPr>
      <w:r>
        <w:t>NPISH includes most universities, charities (including most private schools), religious societies, trade unions and members’ clubs.</w:t>
      </w:r>
      <w:r w:rsidR="006C0F99">
        <w:t xml:space="preserve"> </w:t>
      </w:r>
      <w:r w:rsidR="00021856" w:rsidRPr="0047044B">
        <w:t xml:space="preserve">Conceptually, NPISH Final Consumption Expenditure reflects the consumption by the NPISH sector of its own other non-market output, in a similar way to </w:t>
      </w:r>
      <w:r w:rsidR="00FC3AFC">
        <w:t xml:space="preserve">General </w:t>
      </w:r>
      <w:r w:rsidR="00021856" w:rsidRPr="0047044B">
        <w:t>Government Final Consumption Expenditure.</w:t>
      </w:r>
      <w:r w:rsidR="00FC3AFC">
        <w:t xml:space="preserve"> </w:t>
      </w:r>
    </w:p>
    <w:p w:rsidR="00657846" w:rsidRPr="0047044B" w:rsidRDefault="00657846" w:rsidP="0032323B">
      <w:pPr>
        <w:pStyle w:val="BodyText"/>
      </w:pPr>
      <w:r w:rsidRPr="0047044B">
        <w:t>Data specifically relating to the NPISH sector for Scotland</w:t>
      </w:r>
      <w:r w:rsidR="003345FC">
        <w:t xml:space="preserve"> are very limited, however since Universities represent the main part of the NPISH sector,  final demand for the education product will be the same as </w:t>
      </w:r>
      <w:r w:rsidR="00BB5998" w:rsidRPr="0047044B">
        <w:t>output from Higher Education institutions and private schools.</w:t>
      </w:r>
      <w:r w:rsidRPr="0047044B">
        <w:t xml:space="preserve"> </w:t>
      </w:r>
      <w:r w:rsidR="003345FC">
        <w:t xml:space="preserve">The remainder of </w:t>
      </w:r>
      <w:r w:rsidRPr="0047044B">
        <w:t>NPISH final demand</w:t>
      </w:r>
      <w:r w:rsidR="00AB5232" w:rsidRPr="0047044B">
        <w:t xml:space="preserve"> is estimated </w:t>
      </w:r>
      <w:r w:rsidR="00FC3AFC">
        <w:t xml:space="preserve">in line with ONS classifications and </w:t>
      </w:r>
      <w:r w:rsidR="003345FC">
        <w:t xml:space="preserve">using the </w:t>
      </w:r>
      <w:r w:rsidRPr="0047044B">
        <w:t>UK tables.</w:t>
      </w:r>
    </w:p>
    <w:p w:rsidR="00002739" w:rsidRPr="0047044B" w:rsidRDefault="00002739" w:rsidP="00157B9A">
      <w:pPr>
        <w:pStyle w:val="Heading3"/>
      </w:pPr>
      <w:bookmarkStart w:id="121" w:name="_Toc290646642"/>
      <w:bookmarkStart w:id="122" w:name="_Toc290647172"/>
      <w:bookmarkStart w:id="123" w:name="_Toc290647219"/>
      <w:bookmarkStart w:id="124" w:name="_Toc292468952"/>
      <w:bookmarkStart w:id="125" w:name="_Toc497137007"/>
      <w:r w:rsidRPr="0047044B">
        <w:lastRenderedPageBreak/>
        <w:t>Gross Capital Formation</w:t>
      </w:r>
      <w:bookmarkEnd w:id="121"/>
      <w:bookmarkEnd w:id="122"/>
      <w:bookmarkEnd w:id="123"/>
      <w:bookmarkEnd w:id="124"/>
      <w:bookmarkEnd w:id="125"/>
    </w:p>
    <w:p w:rsidR="001944A8" w:rsidRPr="0047044B" w:rsidRDefault="001944A8" w:rsidP="003345FC">
      <w:pPr>
        <w:pStyle w:val="BodyText"/>
      </w:pPr>
      <w:r w:rsidRPr="0047044B">
        <w:t>Gross Capital Formation comprise</w:t>
      </w:r>
      <w:r w:rsidR="00FC3AFC">
        <w:t>s</w:t>
      </w:r>
      <w:r w:rsidRPr="0047044B">
        <w:t xml:space="preserve"> three components in the tables:</w:t>
      </w:r>
    </w:p>
    <w:p w:rsidR="001944A8" w:rsidRPr="0047044B" w:rsidRDefault="001944A8" w:rsidP="003345FC">
      <w:pPr>
        <w:pStyle w:val="BodyTextBulletted"/>
      </w:pPr>
      <w:r w:rsidRPr="0047044B">
        <w:t>Gross Fixed Capital Formation</w:t>
      </w:r>
      <w:r w:rsidR="009C0F38">
        <w:t xml:space="preserve"> (GFCF)</w:t>
      </w:r>
    </w:p>
    <w:p w:rsidR="001944A8" w:rsidRPr="0047044B" w:rsidRDefault="001944A8" w:rsidP="003345FC">
      <w:pPr>
        <w:pStyle w:val="BodyTextBulletted"/>
      </w:pPr>
      <w:r w:rsidRPr="0047044B">
        <w:t>Acquisitions less disposals of valuables</w:t>
      </w:r>
    </w:p>
    <w:p w:rsidR="001944A8" w:rsidRPr="0047044B" w:rsidRDefault="001944A8" w:rsidP="003345FC">
      <w:pPr>
        <w:pStyle w:val="BodyTextBulletted"/>
      </w:pPr>
      <w:r w:rsidRPr="0047044B">
        <w:t>Change in inventories</w:t>
      </w:r>
      <w:r w:rsidR="007D6EB8">
        <w:t>.</w:t>
      </w:r>
    </w:p>
    <w:p w:rsidR="00AD5578" w:rsidRPr="0047044B" w:rsidRDefault="00AD5578" w:rsidP="00157B9A">
      <w:pPr>
        <w:pStyle w:val="Heading4"/>
      </w:pPr>
      <w:r w:rsidRPr="0047044B">
        <w:t>Gross Fixed Capital Formation</w:t>
      </w:r>
      <w:r w:rsidR="003C3D8E">
        <w:t xml:space="preserve"> (GFCF)</w:t>
      </w:r>
    </w:p>
    <w:p w:rsidR="006845CD" w:rsidRDefault="0040298D" w:rsidP="006845CD">
      <w:pPr>
        <w:pStyle w:val="BodyText"/>
      </w:pPr>
      <w:r w:rsidRPr="0047044B">
        <w:t>The first step in compiling the GFCF column is to produc</w:t>
      </w:r>
      <w:r w:rsidR="003C3D8E">
        <w:t xml:space="preserve">e a vector of GFCF by industry, </w:t>
      </w:r>
      <w:r w:rsidRPr="0047044B">
        <w:t xml:space="preserve">GFCF on dwellings and for </w:t>
      </w:r>
      <w:r w:rsidR="001944A8" w:rsidRPr="0047044B">
        <w:t xml:space="preserve">capitalised </w:t>
      </w:r>
      <w:r w:rsidRPr="0047044B">
        <w:t xml:space="preserve">transfer costs on land. The main source for this is </w:t>
      </w:r>
      <w:r w:rsidR="003C3D8E">
        <w:t>‘</w:t>
      </w:r>
      <w:r w:rsidRPr="0047044B">
        <w:t>net capital expenditure</w:t>
      </w:r>
      <w:r w:rsidR="003C3D8E">
        <w:t>’</w:t>
      </w:r>
      <w:r w:rsidRPr="0047044B">
        <w:t xml:space="preserve"> data from the ABS.  The ABS does not provide complete coverage of Scottish industry, however, so where ABS data are </w:t>
      </w:r>
      <w:r w:rsidR="005373BF">
        <w:t xml:space="preserve">either too </w:t>
      </w:r>
      <w:r w:rsidR="00677598">
        <w:t>sparse</w:t>
      </w:r>
      <w:r w:rsidR="005373BF">
        <w:t xml:space="preserve"> or </w:t>
      </w:r>
      <w:r w:rsidRPr="0047044B">
        <w:t>not available</w:t>
      </w:r>
      <w:r w:rsidR="00D17F2F" w:rsidRPr="0047044B">
        <w:t xml:space="preserve"> (</w:t>
      </w:r>
      <w:r w:rsidR="00AD5ABA">
        <w:t>Forestry (</w:t>
      </w:r>
      <w:r w:rsidR="00A318C9">
        <w:t>SIC</w:t>
      </w:r>
      <w:r w:rsidR="00BB5998" w:rsidRPr="0047044B">
        <w:t xml:space="preserve"> </w:t>
      </w:r>
      <w:r w:rsidR="00AD5ABA">
        <w:t>0</w:t>
      </w:r>
      <w:r w:rsidR="00BB5998" w:rsidRPr="0047044B">
        <w:t>2</w:t>
      </w:r>
      <w:r w:rsidR="00F233F9" w:rsidRPr="0047044B">
        <w:t>)</w:t>
      </w:r>
      <w:r w:rsidR="00A318C9">
        <w:t>, Financial Intermediation (SIC</w:t>
      </w:r>
      <w:r w:rsidR="00AD5ABA">
        <w:t xml:space="preserve"> 64-66</w:t>
      </w:r>
      <w:r w:rsidR="00BB5998" w:rsidRPr="0047044B">
        <w:t>) and Public Sector</w:t>
      </w:r>
      <w:r w:rsidR="00D02EC1">
        <w:t>, Government</w:t>
      </w:r>
      <w:r w:rsidR="00A318C9">
        <w:t xml:space="preserve"> and Other (SIC</w:t>
      </w:r>
      <w:r w:rsidR="00AD5ABA">
        <w:t xml:space="preserve"> 94-97</w:t>
      </w:r>
      <w:r w:rsidR="00BB5998" w:rsidRPr="0047044B">
        <w:t>)</w:t>
      </w:r>
      <w:r w:rsidRPr="0047044B">
        <w:t xml:space="preserve">, </w:t>
      </w:r>
      <w:r w:rsidR="006845CD">
        <w:t xml:space="preserve">alternative estimates of GFCF by industry are used instead. In these few industries, we estimate GFCF figures </w:t>
      </w:r>
      <w:r w:rsidR="009C4672">
        <w:t>pro rata</w:t>
      </w:r>
      <w:r w:rsidR="006845CD">
        <w:t xml:space="preserve"> </w:t>
      </w:r>
      <w:r w:rsidR="002C4244">
        <w:t xml:space="preserve">using </w:t>
      </w:r>
      <w:r w:rsidR="009C4672">
        <w:t>the Scotland Gross Operating Surplus (GOS) to the UK GOS.</w:t>
      </w:r>
      <w:r w:rsidR="0069649F">
        <w:t xml:space="preserve"> Data for GFCF on transfer costs for land </w:t>
      </w:r>
      <w:r w:rsidR="009E3CB9">
        <w:t>and dwellings are taken from ONS Regional Accounts data.</w:t>
      </w:r>
    </w:p>
    <w:p w:rsidR="0071658C" w:rsidRDefault="0071658C" w:rsidP="006845CD">
      <w:pPr>
        <w:pStyle w:val="BodyText"/>
      </w:pPr>
      <w:r>
        <w:t>T</w:t>
      </w:r>
      <w:r w:rsidRPr="0071658C">
        <w:t>he estimate for G</w:t>
      </w:r>
      <w:r>
        <w:t>F</w:t>
      </w:r>
      <w:r w:rsidRPr="0071658C">
        <w:t>CF for the agriculture industry</w:t>
      </w:r>
      <w:r>
        <w:t xml:space="preserve"> (</w:t>
      </w:r>
      <w:r w:rsidR="002C4244">
        <w:t>SIC 01</w:t>
      </w:r>
      <w:r>
        <w:t>)</w:t>
      </w:r>
      <w:r w:rsidRPr="0071658C">
        <w:t xml:space="preserve"> are now taken directly from the </w:t>
      </w:r>
      <w:hyperlink r:id="rId31" w:history="1">
        <w:r w:rsidRPr="0071658C">
          <w:rPr>
            <w:rStyle w:val="Hyperlink"/>
          </w:rPr>
          <w:t>Total Income from Farming data</w:t>
        </w:r>
      </w:hyperlink>
      <w:r w:rsidR="007C44BA">
        <w:rPr>
          <w:rStyle w:val="FootnoteReference"/>
        </w:rPr>
        <w:footnoteReference w:id="14"/>
      </w:r>
      <w:r w:rsidR="007C44BA">
        <w:t>.</w:t>
      </w:r>
      <w:r w:rsidRPr="0071658C">
        <w:t xml:space="preserve"> Previously the Scottish to UK Gross Operating Surplus proportions were applied to UK agriculture estimates of G</w:t>
      </w:r>
      <w:r>
        <w:t>F</w:t>
      </w:r>
      <w:r w:rsidRPr="0071658C">
        <w:t>CF.</w:t>
      </w:r>
    </w:p>
    <w:p w:rsidR="006845CD" w:rsidRDefault="009C4672" w:rsidP="006845CD">
      <w:pPr>
        <w:pStyle w:val="BodyText"/>
      </w:pPr>
      <w:r w:rsidRPr="009C4672">
        <w:t xml:space="preserve">These industry level </w:t>
      </w:r>
      <w:r w:rsidR="002C4244">
        <w:t xml:space="preserve">total GFCF </w:t>
      </w:r>
      <w:r w:rsidRPr="009C4672">
        <w:t>estimates are disaggregated to product</w:t>
      </w:r>
      <w:r w:rsidR="002C4244">
        <w:t>s</w:t>
      </w:r>
      <w:r w:rsidRPr="009C4672">
        <w:t xml:space="preserve"> </w:t>
      </w:r>
      <w:r w:rsidR="002C4244">
        <w:t xml:space="preserve">using </w:t>
      </w:r>
      <w:r w:rsidRPr="009C4672">
        <w:t>product proportions from the UK GFCF industry by product table. Aggregating by industry then provides us with our GFCF by product final demand column for the Use table.</w:t>
      </w:r>
    </w:p>
    <w:p w:rsidR="00F55F33" w:rsidRPr="0047044B" w:rsidRDefault="00F55F33" w:rsidP="00157B9A">
      <w:pPr>
        <w:pStyle w:val="Heading4"/>
      </w:pPr>
      <w:r w:rsidRPr="0047044B">
        <w:t>Valuables</w:t>
      </w:r>
    </w:p>
    <w:p w:rsidR="00DB66DA" w:rsidRPr="0047044B" w:rsidRDefault="009C0F38" w:rsidP="003345FC">
      <w:pPr>
        <w:pStyle w:val="BodyText"/>
      </w:pPr>
      <w:r>
        <w:t>Due to its very small size, d</w:t>
      </w:r>
      <w:r w:rsidR="00DB66DA" w:rsidRPr="0047044B">
        <w:t xml:space="preserve">ata on acquisitions less disposals of valuables are not </w:t>
      </w:r>
      <w:r w:rsidR="0037749F">
        <w:t>used</w:t>
      </w:r>
      <w:r w:rsidR="0037749F" w:rsidRPr="0047044B">
        <w:t xml:space="preserve"> </w:t>
      </w:r>
      <w:r w:rsidR="00DB66DA" w:rsidRPr="0047044B">
        <w:t xml:space="preserve">for Scotland, so the ratio of net change in valuables to total output for the UK is applied to total output for Scotland.  This estimate of overall net change in valuables is then apportioned across </w:t>
      </w:r>
      <w:r w:rsidR="00CF35FC">
        <w:t>products</w:t>
      </w:r>
      <w:r w:rsidR="00CF35FC" w:rsidRPr="0047044B">
        <w:t xml:space="preserve"> </w:t>
      </w:r>
      <w:r w:rsidR="00DB66DA" w:rsidRPr="0047044B">
        <w:t>using UK proportions to obtain an acquisitions less disposals of valuables column for Scotland</w:t>
      </w:r>
      <w:r w:rsidR="00BA65AC" w:rsidRPr="0047044B">
        <w:t>.</w:t>
      </w:r>
    </w:p>
    <w:p w:rsidR="00DB66DA" w:rsidRPr="0047044B" w:rsidRDefault="00DB66DA" w:rsidP="00157B9A">
      <w:pPr>
        <w:pStyle w:val="Heading4"/>
      </w:pPr>
      <w:r w:rsidRPr="0047044B">
        <w:t>Change in Inventories</w:t>
      </w:r>
    </w:p>
    <w:p w:rsidR="00BC607B" w:rsidRPr="0047044B" w:rsidRDefault="00BC607B" w:rsidP="00BB37D2">
      <w:pPr>
        <w:pStyle w:val="BodyText"/>
      </w:pPr>
      <w:r w:rsidRPr="0047044B">
        <w:t>For manufacturing industries, ABS data provides start year and end year stocks of material and fuels, work in progress and finished goods.  It is not currently possible to separate work in progress and finished goods stocks, so UK data (from 2004 - the latest available) is used to calculate this split.  For service industries, UK data is used to split all inventory components.</w:t>
      </w:r>
    </w:p>
    <w:p w:rsidR="00BC607B" w:rsidRPr="0047044B" w:rsidRDefault="00FC3AFC" w:rsidP="00BB37D2">
      <w:pPr>
        <w:pStyle w:val="BodyText"/>
      </w:pPr>
      <w:r>
        <w:t>Inventory</w:t>
      </w:r>
      <w:r w:rsidR="00BC607B" w:rsidRPr="0047044B">
        <w:t xml:space="preserve"> deflators are provided by ONS, and applied to start year and end year stocks to calculate </w:t>
      </w:r>
      <w:r w:rsidR="0037749F">
        <w:t>the change in inventories valued consistently in the average prices of the year.</w:t>
      </w:r>
    </w:p>
    <w:p w:rsidR="00DB66DA" w:rsidRPr="0047044B" w:rsidRDefault="00FC3AFC" w:rsidP="00BB37D2">
      <w:pPr>
        <w:pStyle w:val="BodyText"/>
      </w:pPr>
      <w:r>
        <w:t>Inventory</w:t>
      </w:r>
      <w:r w:rsidR="00BC607B" w:rsidRPr="0047044B">
        <w:t xml:space="preserve"> deflators may be missing for some industries, inventory type or time periods.  Where this is the case the average of the available deflators for that industry is used, or average deflators for the IOC which includes the industry. Where there is no Scottish data for an IOC, UK data </w:t>
      </w:r>
      <w:r w:rsidR="00685CC7">
        <w:t>are</w:t>
      </w:r>
      <w:r w:rsidR="00BC607B" w:rsidRPr="0047044B">
        <w:t xml:space="preserve"> used.</w:t>
      </w:r>
    </w:p>
    <w:p w:rsidR="002B623D" w:rsidRPr="0047044B" w:rsidRDefault="003861A7" w:rsidP="00157B9A">
      <w:pPr>
        <w:pStyle w:val="Heading3"/>
      </w:pPr>
      <w:bookmarkStart w:id="126" w:name="_Toc290646643"/>
      <w:bookmarkStart w:id="127" w:name="_Toc290647173"/>
      <w:bookmarkStart w:id="128" w:name="_Toc290647220"/>
      <w:bookmarkStart w:id="129" w:name="_Toc292468953"/>
      <w:bookmarkStart w:id="130" w:name="_Toc497137008"/>
      <w:r w:rsidRPr="0047044B">
        <w:t>Exports</w:t>
      </w:r>
      <w:bookmarkEnd w:id="126"/>
      <w:bookmarkEnd w:id="127"/>
      <w:bookmarkEnd w:id="128"/>
      <w:bookmarkEnd w:id="129"/>
      <w:bookmarkEnd w:id="130"/>
    </w:p>
    <w:p w:rsidR="003861A7" w:rsidRPr="0047044B" w:rsidRDefault="003861A7" w:rsidP="00BB37D2">
      <w:pPr>
        <w:pStyle w:val="BodyText"/>
      </w:pPr>
      <w:r w:rsidRPr="0047044B">
        <w:t>The value</w:t>
      </w:r>
      <w:r w:rsidR="00545A26" w:rsidRPr="0047044B">
        <w:t>s</w:t>
      </w:r>
      <w:r w:rsidRPr="0047044B">
        <w:t xml:space="preserve"> of exports by industry group </w:t>
      </w:r>
      <w:r w:rsidR="00545A26" w:rsidRPr="0047044B">
        <w:t>to the Rest of the UK and Rest of World are</w:t>
      </w:r>
      <w:r w:rsidRPr="0047044B">
        <w:t xml:space="preserve"> available </w:t>
      </w:r>
      <w:r w:rsidR="00545A26" w:rsidRPr="0047044B">
        <w:t xml:space="preserve">from the </w:t>
      </w:r>
      <w:r w:rsidR="00545A26" w:rsidRPr="00BB37D2">
        <w:rPr>
          <w:rFonts w:cs="Arial"/>
        </w:rPr>
        <w:t>Global Connections Survey</w:t>
      </w:r>
      <w:r w:rsidR="00BB37D2">
        <w:rPr>
          <w:rStyle w:val="FootnoteReference"/>
          <w:rFonts w:cs="Arial"/>
        </w:rPr>
        <w:footnoteReference w:id="15"/>
      </w:r>
      <w:r w:rsidR="00545A26" w:rsidRPr="0047044B">
        <w:t xml:space="preserve">.  These are </w:t>
      </w:r>
      <w:r w:rsidR="001F00D4" w:rsidRPr="0047044B">
        <w:t>apportioned</w:t>
      </w:r>
      <w:r w:rsidR="00545A26" w:rsidRPr="0047044B">
        <w:t xml:space="preserve"> to exports by product IOC using the initial </w:t>
      </w:r>
      <w:r w:rsidR="00A13D0F" w:rsidRPr="0047044B">
        <w:t>domest</w:t>
      </w:r>
      <w:r w:rsidR="00FC3AFC">
        <w:t>ic Supply Table at basic prices</w:t>
      </w:r>
      <w:r w:rsidR="00545A26" w:rsidRPr="0047044B">
        <w:t>, and adjusted to separate the margin cost and underlying product cost for the distribution industries</w:t>
      </w:r>
      <w:r w:rsidR="006C0F99">
        <w:t>;</w:t>
      </w:r>
      <w:r w:rsidR="00545A26" w:rsidRPr="0047044B">
        <w:t xml:space="preserve"> the margin is recorded under the </w:t>
      </w:r>
      <w:r w:rsidR="00545A26" w:rsidRPr="0047044B">
        <w:lastRenderedPageBreak/>
        <w:t xml:space="preserve">distribution </w:t>
      </w:r>
      <w:r w:rsidR="00A13D0F" w:rsidRPr="0047044B">
        <w:t>product</w:t>
      </w:r>
      <w:r w:rsidR="00545A26" w:rsidRPr="0047044B">
        <w:t xml:space="preserve">, whereas the value of the product being distributed is recorded under whichever IOC </w:t>
      </w:r>
      <w:r w:rsidR="00AD5578" w:rsidRPr="0047044B">
        <w:t>that product</w:t>
      </w:r>
      <w:r w:rsidR="00545A26" w:rsidRPr="0047044B">
        <w:t xml:space="preserve"> wo</w:t>
      </w:r>
      <w:r w:rsidR="001F00D4" w:rsidRPr="0047044B">
        <w:t>uld normally be classified under</w:t>
      </w:r>
      <w:r w:rsidR="00545A26" w:rsidRPr="0047044B">
        <w:t>.</w:t>
      </w:r>
    </w:p>
    <w:p w:rsidR="001F00D4" w:rsidRPr="0047044B" w:rsidRDefault="00375E9C" w:rsidP="00157B9A">
      <w:pPr>
        <w:pStyle w:val="Heading3"/>
      </w:pPr>
      <w:bookmarkStart w:id="131" w:name="_Toc290646644"/>
      <w:bookmarkStart w:id="132" w:name="_Toc290647174"/>
      <w:bookmarkStart w:id="133" w:name="_Toc290647221"/>
      <w:bookmarkStart w:id="134" w:name="_Toc292468954"/>
      <w:bookmarkStart w:id="135" w:name="_Toc497137009"/>
      <w:r w:rsidRPr="0047044B">
        <w:t>Treatment of g</w:t>
      </w:r>
      <w:r w:rsidR="007B7217" w:rsidRPr="0047044B">
        <w:t>overnment</w:t>
      </w:r>
      <w:bookmarkEnd w:id="131"/>
      <w:bookmarkEnd w:id="132"/>
      <w:bookmarkEnd w:id="133"/>
      <w:bookmarkEnd w:id="134"/>
      <w:bookmarkEnd w:id="135"/>
    </w:p>
    <w:p w:rsidR="001F00D4" w:rsidRDefault="00D91EB1" w:rsidP="00BB37D2">
      <w:pPr>
        <w:pStyle w:val="BodyText"/>
      </w:pPr>
      <w:r w:rsidRPr="0047044B">
        <w:t>Most of the output of government is non-market output</w:t>
      </w:r>
      <w:r w:rsidR="0051303D">
        <w:t>.  Non-market output provided for payment is valued at the value of the payments made.  N</w:t>
      </w:r>
      <w:r w:rsidRPr="0047044B">
        <w:t xml:space="preserve">on-market output </w:t>
      </w:r>
      <w:r w:rsidR="0051303D">
        <w:t xml:space="preserve">provided for free </w:t>
      </w:r>
      <w:r w:rsidRPr="0047044B">
        <w:t xml:space="preserve">is valued according to the </w:t>
      </w:r>
      <w:r w:rsidR="00FC3AFC">
        <w:t>sum</w:t>
      </w:r>
      <w:r w:rsidR="00454893">
        <w:t xml:space="preserve"> of inputs</w:t>
      </w:r>
      <w:r w:rsidRPr="0047044B">
        <w:t xml:space="preserve"> </w:t>
      </w:r>
      <w:r w:rsidR="00454893">
        <w:t>less payments for non-market output</w:t>
      </w:r>
      <w:r w:rsidRPr="0047044B">
        <w:t>, since there are no market prices for such output to use to establish its value (there is assumed to be no net operating surplus on this activity, and so the gross operating surplus entry consists only of consumption</w:t>
      </w:r>
      <w:r w:rsidR="00FC3AFC">
        <w:t xml:space="preserve"> of fixed capital</w:t>
      </w:r>
      <w:r w:rsidRPr="0047044B">
        <w:t xml:space="preserve">).  The input costs of government are recorded in the intermediate consumption </w:t>
      </w:r>
      <w:r w:rsidR="00AD7A29">
        <w:t>part of the Use Table</w:t>
      </w:r>
      <w:r w:rsidRPr="0047044B">
        <w:t xml:space="preserve"> under the different service industries of government.  Separate matrices are compiled for Central and Local Government and then combined by summation with non-government producers in the final tables.</w:t>
      </w:r>
    </w:p>
    <w:p w:rsidR="00016B3E" w:rsidRPr="0047044B" w:rsidRDefault="00016B3E" w:rsidP="00BB37D2">
      <w:pPr>
        <w:pStyle w:val="BodyText"/>
      </w:pPr>
      <w:r>
        <w:t>Under ESA 2010, a new classification of social transfers in kind market production was introduced.  This consists of individual goods or services provided by government units</w:t>
      </w:r>
      <w:r>
        <w:rPr>
          <w:rStyle w:val="FootnoteReference"/>
        </w:rPr>
        <w:footnoteReference w:id="16"/>
      </w:r>
      <w:r>
        <w:t xml:space="preserve"> to individual households </w:t>
      </w:r>
      <w:r w:rsidR="006F72F0">
        <w:t>which are either purchased by government from market producers, or which government reimburses households for the purchase of from social security funds,  Examples include funding for prescription medicines and for NHS dental care.  Prior to ESA 2010 these transactions were treated as part of government intermediate consumption (and by the sum-of-costs valuation, of government output).  They are now excluded from government IC, and appear instead as part of government final consumption.</w:t>
      </w:r>
    </w:p>
    <w:p w:rsidR="00D91EB1" w:rsidRPr="0047044B" w:rsidRDefault="00D91EB1" w:rsidP="00BB37D2">
      <w:pPr>
        <w:pStyle w:val="BodyText"/>
      </w:pPr>
      <w:r w:rsidRPr="0047044B">
        <w:t xml:space="preserve">Details of the service industries of government, and which </w:t>
      </w:r>
      <w:r w:rsidR="00485FD9" w:rsidRPr="0047044B">
        <w:t>levels of government</w:t>
      </w:r>
      <w:r w:rsidR="00856331" w:rsidRPr="0047044B">
        <w:t xml:space="preserve"> (central and/or local)</w:t>
      </w:r>
      <w:r w:rsidR="00485FD9" w:rsidRPr="0047044B">
        <w:t xml:space="preserve"> contribute to them are detailed in the table below:</w:t>
      </w:r>
    </w:p>
    <w:tbl>
      <w:tblPr>
        <w:tblW w:w="0" w:type="auto"/>
        <w:tblInd w:w="680" w:type="dxa"/>
        <w:tblLook w:val="04A0" w:firstRow="1" w:lastRow="0" w:firstColumn="1" w:lastColumn="0" w:noHBand="0" w:noVBand="1"/>
      </w:tblPr>
      <w:tblGrid>
        <w:gridCol w:w="848"/>
        <w:gridCol w:w="2920"/>
        <w:gridCol w:w="1160"/>
        <w:gridCol w:w="1160"/>
      </w:tblGrid>
      <w:tr w:rsidR="004C3E1A" w:rsidRPr="004C3E1A" w:rsidTr="002C4244">
        <w:trPr>
          <w:trHeight w:val="525"/>
        </w:trPr>
        <w:tc>
          <w:tcPr>
            <w:tcW w:w="820" w:type="dxa"/>
            <w:tcBorders>
              <w:top w:val="single" w:sz="8" w:space="0" w:color="auto"/>
              <w:left w:val="nil"/>
              <w:bottom w:val="single" w:sz="8" w:space="0" w:color="auto"/>
              <w:right w:val="nil"/>
            </w:tcBorders>
            <w:shd w:val="clear" w:color="auto" w:fill="auto"/>
            <w:vAlign w:val="bottom"/>
            <w:hideMark/>
          </w:tcPr>
          <w:p w:rsidR="004C3E1A" w:rsidRPr="004C3E1A" w:rsidRDefault="004C3E1A" w:rsidP="004C3E1A">
            <w:pPr>
              <w:rPr>
                <w:rFonts w:cs="Arial"/>
                <w:b/>
                <w:bCs/>
                <w:color w:val="000000"/>
                <w:sz w:val="16"/>
                <w:szCs w:val="16"/>
              </w:rPr>
            </w:pPr>
            <w:r w:rsidRPr="004C3E1A">
              <w:rPr>
                <w:rFonts w:cs="Arial"/>
                <w:b/>
                <w:bCs/>
                <w:color w:val="000000"/>
                <w:sz w:val="16"/>
                <w:szCs w:val="16"/>
              </w:rPr>
              <w:t>Industry SIC</w:t>
            </w:r>
          </w:p>
        </w:tc>
        <w:tc>
          <w:tcPr>
            <w:tcW w:w="2920" w:type="dxa"/>
            <w:tcBorders>
              <w:top w:val="single" w:sz="8" w:space="0" w:color="auto"/>
              <w:left w:val="nil"/>
              <w:bottom w:val="single" w:sz="8" w:space="0" w:color="auto"/>
              <w:right w:val="nil"/>
            </w:tcBorders>
            <w:shd w:val="clear" w:color="auto" w:fill="auto"/>
            <w:vAlign w:val="bottom"/>
            <w:hideMark/>
          </w:tcPr>
          <w:p w:rsidR="004C3E1A" w:rsidRPr="004C3E1A" w:rsidRDefault="004C3E1A" w:rsidP="004C3E1A">
            <w:pPr>
              <w:rPr>
                <w:rFonts w:cs="Arial"/>
                <w:b/>
                <w:bCs/>
                <w:color w:val="000000"/>
                <w:sz w:val="16"/>
                <w:szCs w:val="16"/>
              </w:rPr>
            </w:pPr>
            <w:r w:rsidRPr="004C3E1A">
              <w:rPr>
                <w:rFonts w:cs="Arial"/>
                <w:b/>
                <w:bCs/>
                <w:color w:val="000000"/>
                <w:sz w:val="16"/>
                <w:szCs w:val="16"/>
              </w:rPr>
              <w:t>Industry Description</w:t>
            </w:r>
          </w:p>
        </w:tc>
        <w:tc>
          <w:tcPr>
            <w:tcW w:w="1160" w:type="dxa"/>
            <w:tcBorders>
              <w:top w:val="single" w:sz="8" w:space="0" w:color="auto"/>
              <w:left w:val="nil"/>
              <w:bottom w:val="single" w:sz="8" w:space="0" w:color="auto"/>
              <w:right w:val="nil"/>
            </w:tcBorders>
            <w:shd w:val="clear" w:color="auto" w:fill="auto"/>
            <w:vAlign w:val="bottom"/>
            <w:hideMark/>
          </w:tcPr>
          <w:p w:rsidR="004C3E1A" w:rsidRPr="004C3E1A" w:rsidRDefault="004C3E1A" w:rsidP="004C3E1A">
            <w:pPr>
              <w:jc w:val="center"/>
              <w:rPr>
                <w:rFonts w:cs="Arial"/>
                <w:b/>
                <w:bCs/>
                <w:color w:val="000000"/>
                <w:sz w:val="16"/>
                <w:szCs w:val="16"/>
              </w:rPr>
            </w:pPr>
            <w:r w:rsidRPr="004C3E1A">
              <w:rPr>
                <w:rFonts w:cs="Arial"/>
                <w:b/>
                <w:bCs/>
                <w:color w:val="000000"/>
                <w:sz w:val="16"/>
                <w:szCs w:val="16"/>
              </w:rPr>
              <w:t>Central Government</w:t>
            </w:r>
          </w:p>
        </w:tc>
        <w:tc>
          <w:tcPr>
            <w:tcW w:w="1160" w:type="dxa"/>
            <w:tcBorders>
              <w:top w:val="single" w:sz="8" w:space="0" w:color="auto"/>
              <w:left w:val="nil"/>
              <w:bottom w:val="single" w:sz="8" w:space="0" w:color="auto"/>
              <w:right w:val="nil"/>
            </w:tcBorders>
            <w:shd w:val="clear" w:color="auto" w:fill="auto"/>
            <w:vAlign w:val="bottom"/>
            <w:hideMark/>
          </w:tcPr>
          <w:p w:rsidR="004C3E1A" w:rsidRPr="004C3E1A" w:rsidRDefault="004C3E1A" w:rsidP="004C3E1A">
            <w:pPr>
              <w:jc w:val="center"/>
              <w:rPr>
                <w:rFonts w:cs="Arial"/>
                <w:b/>
                <w:bCs/>
                <w:color w:val="000000"/>
                <w:sz w:val="16"/>
                <w:szCs w:val="16"/>
              </w:rPr>
            </w:pPr>
            <w:r w:rsidRPr="004C3E1A">
              <w:rPr>
                <w:rFonts w:cs="Arial"/>
                <w:b/>
                <w:bCs/>
                <w:color w:val="000000"/>
                <w:sz w:val="16"/>
                <w:szCs w:val="16"/>
              </w:rPr>
              <w:t>Local Government</w:t>
            </w:r>
          </w:p>
        </w:tc>
      </w:tr>
      <w:tr w:rsidR="004C3E1A" w:rsidRPr="004C3E1A" w:rsidTr="002C4244">
        <w:trPr>
          <w:trHeight w:val="255"/>
        </w:trPr>
        <w:tc>
          <w:tcPr>
            <w:tcW w:w="820" w:type="dxa"/>
            <w:tcBorders>
              <w:top w:val="nil"/>
              <w:left w:val="nil"/>
              <w:bottom w:val="nil"/>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36, 37</w:t>
            </w:r>
          </w:p>
        </w:tc>
        <w:tc>
          <w:tcPr>
            <w:tcW w:w="2920" w:type="dxa"/>
            <w:tcBorders>
              <w:top w:val="nil"/>
              <w:left w:val="nil"/>
              <w:bottom w:val="nil"/>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Water and sewerage</w:t>
            </w:r>
          </w:p>
        </w:tc>
        <w:tc>
          <w:tcPr>
            <w:tcW w:w="1160" w:type="dxa"/>
            <w:tcBorders>
              <w:top w:val="nil"/>
              <w:left w:val="nil"/>
              <w:bottom w:val="nil"/>
              <w:right w:val="nil"/>
            </w:tcBorders>
            <w:shd w:val="clear" w:color="auto" w:fill="auto"/>
            <w:noWrap/>
            <w:vAlign w:val="bottom"/>
            <w:hideMark/>
          </w:tcPr>
          <w:p w:rsidR="004C3E1A" w:rsidRPr="004C3E1A" w:rsidRDefault="004C3E1A" w:rsidP="004C3E1A">
            <w:pPr>
              <w:jc w:val="center"/>
              <w:rPr>
                <w:rFonts w:cs="Arial"/>
                <w:color w:val="000000"/>
                <w:sz w:val="16"/>
                <w:szCs w:val="16"/>
              </w:rPr>
            </w:pPr>
          </w:p>
        </w:tc>
        <w:tc>
          <w:tcPr>
            <w:tcW w:w="1160" w:type="dxa"/>
            <w:tcBorders>
              <w:top w:val="nil"/>
              <w:left w:val="nil"/>
              <w:bottom w:val="nil"/>
              <w:right w:val="nil"/>
            </w:tcBorders>
            <w:shd w:val="clear" w:color="auto" w:fill="auto"/>
            <w:noWrap/>
            <w:vAlign w:val="bottom"/>
            <w:hideMark/>
          </w:tcPr>
          <w:p w:rsidR="004C3E1A" w:rsidRPr="004C3E1A" w:rsidRDefault="004C3E1A" w:rsidP="004C3E1A">
            <w:pPr>
              <w:jc w:val="center"/>
              <w:rPr>
                <w:rFonts w:ascii="Wingdings" w:hAnsi="Wingdings" w:cs="Arial"/>
                <w:color w:val="000000"/>
                <w:sz w:val="16"/>
                <w:szCs w:val="16"/>
              </w:rPr>
            </w:pPr>
            <w:r w:rsidRPr="004C3E1A">
              <w:rPr>
                <w:rFonts w:ascii="Wingdings" w:hAnsi="Wingdings" w:cs="Arial"/>
                <w:color w:val="000000"/>
                <w:sz w:val="16"/>
                <w:szCs w:val="16"/>
              </w:rPr>
              <w:sym w:font="Wingdings" w:char="F0FC"/>
            </w:r>
          </w:p>
        </w:tc>
      </w:tr>
      <w:tr w:rsidR="007E2826" w:rsidRPr="004C3E1A" w:rsidTr="002C4244">
        <w:trPr>
          <w:trHeight w:val="255"/>
        </w:trPr>
        <w:tc>
          <w:tcPr>
            <w:tcW w:w="820" w:type="dxa"/>
            <w:tcBorders>
              <w:top w:val="nil"/>
              <w:left w:val="nil"/>
              <w:bottom w:val="nil"/>
              <w:right w:val="nil"/>
            </w:tcBorders>
            <w:shd w:val="clear" w:color="auto" w:fill="auto"/>
            <w:noWrap/>
            <w:vAlign w:val="bottom"/>
          </w:tcPr>
          <w:p w:rsidR="007E2826" w:rsidRPr="004C3E1A" w:rsidRDefault="007E2826" w:rsidP="004C3E1A">
            <w:pPr>
              <w:rPr>
                <w:rFonts w:cs="Arial"/>
                <w:color w:val="000000"/>
                <w:sz w:val="16"/>
                <w:szCs w:val="16"/>
              </w:rPr>
            </w:pPr>
            <w:r>
              <w:rPr>
                <w:rFonts w:cs="Arial"/>
                <w:color w:val="000000"/>
                <w:sz w:val="16"/>
                <w:szCs w:val="16"/>
              </w:rPr>
              <w:t>49.3-5</w:t>
            </w:r>
          </w:p>
        </w:tc>
        <w:tc>
          <w:tcPr>
            <w:tcW w:w="2920" w:type="dxa"/>
            <w:tcBorders>
              <w:top w:val="nil"/>
              <w:left w:val="nil"/>
              <w:bottom w:val="nil"/>
              <w:right w:val="nil"/>
            </w:tcBorders>
            <w:shd w:val="clear" w:color="auto" w:fill="auto"/>
            <w:noWrap/>
            <w:vAlign w:val="bottom"/>
          </w:tcPr>
          <w:p w:rsidR="007E2826" w:rsidRPr="004C3E1A" w:rsidRDefault="007E2826" w:rsidP="004C3E1A">
            <w:pPr>
              <w:rPr>
                <w:rFonts w:cs="Arial"/>
                <w:color w:val="000000"/>
                <w:sz w:val="16"/>
                <w:szCs w:val="16"/>
              </w:rPr>
            </w:pPr>
            <w:r>
              <w:rPr>
                <w:rFonts w:cs="Arial"/>
                <w:color w:val="000000"/>
                <w:sz w:val="16"/>
                <w:szCs w:val="16"/>
              </w:rPr>
              <w:t>Other land transport</w:t>
            </w:r>
          </w:p>
        </w:tc>
        <w:tc>
          <w:tcPr>
            <w:tcW w:w="1160" w:type="dxa"/>
            <w:tcBorders>
              <w:top w:val="nil"/>
              <w:left w:val="nil"/>
              <w:bottom w:val="nil"/>
              <w:right w:val="nil"/>
            </w:tcBorders>
            <w:shd w:val="clear" w:color="auto" w:fill="auto"/>
            <w:noWrap/>
            <w:vAlign w:val="bottom"/>
          </w:tcPr>
          <w:p w:rsidR="007E2826" w:rsidRPr="004C3E1A" w:rsidRDefault="007E2826" w:rsidP="004C3E1A">
            <w:pPr>
              <w:jc w:val="center"/>
              <w:rPr>
                <w:rFonts w:ascii="Wingdings" w:hAnsi="Wingdings" w:cs="Arial"/>
                <w:color w:val="000000"/>
                <w:sz w:val="16"/>
                <w:szCs w:val="16"/>
              </w:rPr>
            </w:pPr>
          </w:p>
        </w:tc>
        <w:tc>
          <w:tcPr>
            <w:tcW w:w="1160" w:type="dxa"/>
            <w:tcBorders>
              <w:top w:val="nil"/>
              <w:left w:val="nil"/>
              <w:bottom w:val="nil"/>
              <w:right w:val="nil"/>
            </w:tcBorders>
            <w:shd w:val="clear" w:color="auto" w:fill="auto"/>
            <w:noWrap/>
            <w:vAlign w:val="bottom"/>
          </w:tcPr>
          <w:p w:rsidR="007E2826" w:rsidRPr="004C3E1A" w:rsidRDefault="007E2826" w:rsidP="004C3E1A">
            <w:pPr>
              <w:jc w:val="center"/>
              <w:rPr>
                <w:rFonts w:cs="Arial"/>
                <w:color w:val="000000"/>
                <w:sz w:val="16"/>
                <w:szCs w:val="16"/>
              </w:rPr>
            </w:pPr>
            <w:r w:rsidRPr="004C3E1A">
              <w:rPr>
                <w:rFonts w:ascii="Wingdings" w:hAnsi="Wingdings" w:cs="Arial"/>
                <w:color w:val="000000"/>
                <w:sz w:val="16"/>
                <w:szCs w:val="16"/>
              </w:rPr>
              <w:sym w:font="Wingdings" w:char="F0FC"/>
            </w:r>
          </w:p>
        </w:tc>
      </w:tr>
      <w:tr w:rsidR="007E2826" w:rsidRPr="004C3E1A" w:rsidTr="002C4244">
        <w:trPr>
          <w:trHeight w:val="255"/>
        </w:trPr>
        <w:tc>
          <w:tcPr>
            <w:tcW w:w="820" w:type="dxa"/>
            <w:tcBorders>
              <w:top w:val="nil"/>
              <w:left w:val="nil"/>
              <w:bottom w:val="nil"/>
              <w:right w:val="nil"/>
            </w:tcBorders>
            <w:shd w:val="clear" w:color="auto" w:fill="auto"/>
            <w:noWrap/>
            <w:vAlign w:val="bottom"/>
          </w:tcPr>
          <w:p w:rsidR="007E2826" w:rsidRPr="004C3E1A" w:rsidRDefault="007E2826" w:rsidP="004C3E1A">
            <w:pPr>
              <w:rPr>
                <w:rFonts w:cs="Arial"/>
                <w:color w:val="000000"/>
                <w:sz w:val="16"/>
                <w:szCs w:val="16"/>
              </w:rPr>
            </w:pPr>
            <w:r>
              <w:rPr>
                <w:rFonts w:cs="Arial"/>
                <w:color w:val="000000"/>
                <w:sz w:val="16"/>
                <w:szCs w:val="16"/>
              </w:rPr>
              <w:t>52</w:t>
            </w:r>
          </w:p>
        </w:tc>
        <w:tc>
          <w:tcPr>
            <w:tcW w:w="2920" w:type="dxa"/>
            <w:tcBorders>
              <w:top w:val="nil"/>
              <w:left w:val="nil"/>
              <w:bottom w:val="nil"/>
              <w:right w:val="nil"/>
            </w:tcBorders>
            <w:shd w:val="clear" w:color="auto" w:fill="auto"/>
            <w:noWrap/>
            <w:vAlign w:val="bottom"/>
          </w:tcPr>
          <w:p w:rsidR="007E2826" w:rsidRPr="004C3E1A" w:rsidRDefault="007E2826" w:rsidP="004C3E1A">
            <w:pPr>
              <w:rPr>
                <w:rFonts w:cs="Arial"/>
                <w:color w:val="000000"/>
                <w:sz w:val="16"/>
                <w:szCs w:val="16"/>
              </w:rPr>
            </w:pPr>
            <w:r>
              <w:rPr>
                <w:rFonts w:cs="Arial"/>
                <w:color w:val="000000"/>
                <w:sz w:val="16"/>
                <w:szCs w:val="16"/>
              </w:rPr>
              <w:t>Support services for transport</w:t>
            </w:r>
          </w:p>
        </w:tc>
        <w:tc>
          <w:tcPr>
            <w:tcW w:w="1160" w:type="dxa"/>
            <w:tcBorders>
              <w:top w:val="nil"/>
              <w:left w:val="nil"/>
              <w:bottom w:val="nil"/>
              <w:right w:val="nil"/>
            </w:tcBorders>
            <w:shd w:val="clear" w:color="auto" w:fill="auto"/>
            <w:noWrap/>
            <w:vAlign w:val="bottom"/>
          </w:tcPr>
          <w:p w:rsidR="007E2826" w:rsidRPr="004C3E1A" w:rsidRDefault="007E2826" w:rsidP="004C3E1A">
            <w:pPr>
              <w:jc w:val="center"/>
              <w:rPr>
                <w:rFonts w:ascii="Wingdings" w:hAnsi="Wingdings" w:cs="Arial"/>
                <w:color w:val="000000"/>
                <w:sz w:val="16"/>
                <w:szCs w:val="16"/>
              </w:rPr>
            </w:pPr>
            <w:r w:rsidRPr="004C3E1A">
              <w:rPr>
                <w:rFonts w:ascii="Wingdings" w:hAnsi="Wingdings" w:cs="Arial"/>
                <w:color w:val="000000"/>
                <w:sz w:val="16"/>
                <w:szCs w:val="16"/>
              </w:rPr>
              <w:sym w:font="Wingdings" w:char="F0FC"/>
            </w:r>
          </w:p>
        </w:tc>
        <w:tc>
          <w:tcPr>
            <w:tcW w:w="1160" w:type="dxa"/>
            <w:tcBorders>
              <w:top w:val="nil"/>
              <w:left w:val="nil"/>
              <w:bottom w:val="nil"/>
              <w:right w:val="nil"/>
            </w:tcBorders>
            <w:shd w:val="clear" w:color="auto" w:fill="auto"/>
            <w:noWrap/>
            <w:vAlign w:val="bottom"/>
          </w:tcPr>
          <w:p w:rsidR="007E2826" w:rsidRPr="004C3E1A" w:rsidRDefault="007E2826" w:rsidP="004C3E1A">
            <w:pPr>
              <w:jc w:val="center"/>
              <w:rPr>
                <w:rFonts w:cs="Arial"/>
                <w:color w:val="000000"/>
                <w:sz w:val="16"/>
                <w:szCs w:val="16"/>
              </w:rPr>
            </w:pPr>
          </w:p>
        </w:tc>
      </w:tr>
      <w:tr w:rsidR="004C3E1A" w:rsidRPr="004C3E1A" w:rsidTr="002C4244">
        <w:trPr>
          <w:trHeight w:val="255"/>
        </w:trPr>
        <w:tc>
          <w:tcPr>
            <w:tcW w:w="820" w:type="dxa"/>
            <w:tcBorders>
              <w:top w:val="nil"/>
              <w:left w:val="nil"/>
              <w:bottom w:val="nil"/>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59, 60</w:t>
            </w:r>
          </w:p>
        </w:tc>
        <w:tc>
          <w:tcPr>
            <w:tcW w:w="2920" w:type="dxa"/>
            <w:tcBorders>
              <w:top w:val="nil"/>
              <w:left w:val="nil"/>
              <w:bottom w:val="nil"/>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 xml:space="preserve">Film video &amp; TV </w:t>
            </w:r>
            <w:proofErr w:type="spellStart"/>
            <w:r w:rsidRPr="004C3E1A">
              <w:rPr>
                <w:rFonts w:cs="Arial"/>
                <w:color w:val="000000"/>
                <w:sz w:val="16"/>
                <w:szCs w:val="16"/>
              </w:rPr>
              <w:t>etc</w:t>
            </w:r>
            <w:proofErr w:type="spellEnd"/>
            <w:r w:rsidRPr="004C3E1A">
              <w:rPr>
                <w:rFonts w:cs="Arial"/>
                <w:color w:val="000000"/>
                <w:sz w:val="16"/>
                <w:szCs w:val="16"/>
              </w:rPr>
              <w:t>; broadcasting</w:t>
            </w:r>
          </w:p>
        </w:tc>
        <w:tc>
          <w:tcPr>
            <w:tcW w:w="1160" w:type="dxa"/>
            <w:tcBorders>
              <w:top w:val="nil"/>
              <w:left w:val="nil"/>
              <w:bottom w:val="nil"/>
              <w:right w:val="nil"/>
            </w:tcBorders>
            <w:shd w:val="clear" w:color="auto" w:fill="auto"/>
            <w:noWrap/>
            <w:vAlign w:val="bottom"/>
            <w:hideMark/>
          </w:tcPr>
          <w:p w:rsidR="004C3E1A" w:rsidRPr="004C3E1A" w:rsidRDefault="004C3E1A" w:rsidP="004C3E1A">
            <w:pPr>
              <w:jc w:val="center"/>
              <w:rPr>
                <w:rFonts w:ascii="Wingdings" w:hAnsi="Wingdings" w:cs="Arial"/>
                <w:color w:val="000000"/>
                <w:sz w:val="16"/>
                <w:szCs w:val="16"/>
              </w:rPr>
            </w:pPr>
            <w:r w:rsidRPr="004C3E1A">
              <w:rPr>
                <w:rFonts w:ascii="Wingdings" w:hAnsi="Wingdings" w:cs="Arial"/>
                <w:color w:val="000000"/>
                <w:sz w:val="16"/>
                <w:szCs w:val="16"/>
              </w:rPr>
              <w:sym w:font="Wingdings" w:char="F0FC"/>
            </w:r>
          </w:p>
        </w:tc>
        <w:tc>
          <w:tcPr>
            <w:tcW w:w="1160" w:type="dxa"/>
            <w:tcBorders>
              <w:top w:val="nil"/>
              <w:left w:val="nil"/>
              <w:bottom w:val="nil"/>
              <w:right w:val="nil"/>
            </w:tcBorders>
            <w:shd w:val="clear" w:color="auto" w:fill="auto"/>
            <w:noWrap/>
            <w:vAlign w:val="bottom"/>
            <w:hideMark/>
          </w:tcPr>
          <w:p w:rsidR="004C3E1A" w:rsidRPr="004C3E1A" w:rsidRDefault="004C3E1A" w:rsidP="004C3E1A">
            <w:pPr>
              <w:jc w:val="center"/>
              <w:rPr>
                <w:rFonts w:cs="Arial"/>
                <w:color w:val="000000"/>
                <w:sz w:val="16"/>
                <w:szCs w:val="16"/>
              </w:rPr>
            </w:pPr>
          </w:p>
        </w:tc>
      </w:tr>
      <w:tr w:rsidR="004C3E1A" w:rsidRPr="004C3E1A" w:rsidTr="002C4244">
        <w:trPr>
          <w:trHeight w:val="255"/>
        </w:trPr>
        <w:tc>
          <w:tcPr>
            <w:tcW w:w="820" w:type="dxa"/>
            <w:tcBorders>
              <w:top w:val="nil"/>
              <w:left w:val="nil"/>
              <w:bottom w:val="nil"/>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84</w:t>
            </w:r>
          </w:p>
        </w:tc>
        <w:tc>
          <w:tcPr>
            <w:tcW w:w="2920" w:type="dxa"/>
            <w:tcBorders>
              <w:top w:val="nil"/>
              <w:left w:val="nil"/>
              <w:bottom w:val="nil"/>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Public administration &amp; defence</w:t>
            </w:r>
          </w:p>
        </w:tc>
        <w:tc>
          <w:tcPr>
            <w:tcW w:w="1160" w:type="dxa"/>
            <w:tcBorders>
              <w:top w:val="nil"/>
              <w:left w:val="nil"/>
              <w:bottom w:val="nil"/>
              <w:right w:val="nil"/>
            </w:tcBorders>
            <w:shd w:val="clear" w:color="auto" w:fill="auto"/>
            <w:noWrap/>
            <w:vAlign w:val="bottom"/>
            <w:hideMark/>
          </w:tcPr>
          <w:p w:rsidR="004C3E1A" w:rsidRPr="004C3E1A" w:rsidRDefault="004C3E1A" w:rsidP="004C3E1A">
            <w:pPr>
              <w:jc w:val="center"/>
              <w:rPr>
                <w:rFonts w:ascii="Wingdings" w:hAnsi="Wingdings" w:cs="Arial"/>
                <w:color w:val="000000"/>
                <w:sz w:val="16"/>
                <w:szCs w:val="16"/>
              </w:rPr>
            </w:pPr>
            <w:r w:rsidRPr="004C3E1A">
              <w:rPr>
                <w:rFonts w:ascii="Wingdings" w:hAnsi="Wingdings" w:cs="Arial"/>
                <w:color w:val="000000"/>
                <w:sz w:val="16"/>
                <w:szCs w:val="16"/>
              </w:rPr>
              <w:sym w:font="Wingdings" w:char="F0FC"/>
            </w:r>
          </w:p>
        </w:tc>
        <w:tc>
          <w:tcPr>
            <w:tcW w:w="1160" w:type="dxa"/>
            <w:tcBorders>
              <w:top w:val="nil"/>
              <w:left w:val="nil"/>
              <w:bottom w:val="nil"/>
              <w:right w:val="nil"/>
            </w:tcBorders>
            <w:shd w:val="clear" w:color="auto" w:fill="auto"/>
            <w:noWrap/>
            <w:vAlign w:val="bottom"/>
            <w:hideMark/>
          </w:tcPr>
          <w:p w:rsidR="004C3E1A" w:rsidRPr="004C3E1A" w:rsidRDefault="004C3E1A" w:rsidP="004C3E1A">
            <w:pPr>
              <w:jc w:val="center"/>
              <w:rPr>
                <w:rFonts w:ascii="Wingdings" w:hAnsi="Wingdings" w:cs="Arial"/>
                <w:color w:val="000000"/>
                <w:sz w:val="16"/>
                <w:szCs w:val="16"/>
              </w:rPr>
            </w:pPr>
            <w:r w:rsidRPr="004C3E1A">
              <w:rPr>
                <w:rFonts w:ascii="Wingdings" w:hAnsi="Wingdings" w:cs="Arial"/>
                <w:color w:val="000000"/>
                <w:sz w:val="16"/>
                <w:szCs w:val="16"/>
              </w:rPr>
              <w:sym w:font="Wingdings" w:char="F0FC"/>
            </w:r>
          </w:p>
        </w:tc>
      </w:tr>
      <w:tr w:rsidR="004C3E1A" w:rsidRPr="004C3E1A" w:rsidTr="002C4244">
        <w:trPr>
          <w:trHeight w:val="255"/>
        </w:trPr>
        <w:tc>
          <w:tcPr>
            <w:tcW w:w="820" w:type="dxa"/>
            <w:tcBorders>
              <w:top w:val="nil"/>
              <w:left w:val="nil"/>
              <w:bottom w:val="nil"/>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85</w:t>
            </w:r>
          </w:p>
        </w:tc>
        <w:tc>
          <w:tcPr>
            <w:tcW w:w="2920" w:type="dxa"/>
            <w:tcBorders>
              <w:top w:val="nil"/>
              <w:left w:val="nil"/>
              <w:bottom w:val="nil"/>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Education</w:t>
            </w:r>
          </w:p>
        </w:tc>
        <w:tc>
          <w:tcPr>
            <w:tcW w:w="1160" w:type="dxa"/>
            <w:tcBorders>
              <w:top w:val="nil"/>
              <w:left w:val="nil"/>
              <w:bottom w:val="nil"/>
              <w:right w:val="nil"/>
            </w:tcBorders>
            <w:shd w:val="clear" w:color="auto" w:fill="auto"/>
            <w:noWrap/>
            <w:vAlign w:val="bottom"/>
            <w:hideMark/>
          </w:tcPr>
          <w:p w:rsidR="004C3E1A" w:rsidRPr="004C3E1A" w:rsidRDefault="004C3E1A" w:rsidP="004C3E1A">
            <w:pPr>
              <w:jc w:val="center"/>
              <w:rPr>
                <w:rFonts w:ascii="Wingdings" w:hAnsi="Wingdings" w:cs="Arial"/>
                <w:color w:val="000000"/>
                <w:sz w:val="16"/>
                <w:szCs w:val="16"/>
              </w:rPr>
            </w:pPr>
            <w:r w:rsidRPr="004C3E1A">
              <w:rPr>
                <w:rFonts w:ascii="Wingdings" w:hAnsi="Wingdings" w:cs="Arial"/>
                <w:color w:val="000000"/>
                <w:sz w:val="16"/>
                <w:szCs w:val="16"/>
              </w:rPr>
              <w:sym w:font="Wingdings" w:char="F0FC"/>
            </w:r>
          </w:p>
        </w:tc>
        <w:tc>
          <w:tcPr>
            <w:tcW w:w="1160" w:type="dxa"/>
            <w:tcBorders>
              <w:top w:val="nil"/>
              <w:left w:val="nil"/>
              <w:bottom w:val="nil"/>
              <w:right w:val="nil"/>
            </w:tcBorders>
            <w:shd w:val="clear" w:color="auto" w:fill="auto"/>
            <w:noWrap/>
            <w:vAlign w:val="bottom"/>
            <w:hideMark/>
          </w:tcPr>
          <w:p w:rsidR="004C3E1A" w:rsidRPr="004C3E1A" w:rsidRDefault="004C3E1A" w:rsidP="004C3E1A">
            <w:pPr>
              <w:jc w:val="center"/>
              <w:rPr>
                <w:rFonts w:ascii="Wingdings" w:hAnsi="Wingdings" w:cs="Arial"/>
                <w:color w:val="000000"/>
                <w:sz w:val="16"/>
                <w:szCs w:val="16"/>
              </w:rPr>
            </w:pPr>
            <w:r w:rsidRPr="004C3E1A">
              <w:rPr>
                <w:rFonts w:ascii="Wingdings" w:hAnsi="Wingdings" w:cs="Arial"/>
                <w:color w:val="000000"/>
                <w:sz w:val="16"/>
                <w:szCs w:val="16"/>
              </w:rPr>
              <w:sym w:font="Wingdings" w:char="F0FC"/>
            </w:r>
          </w:p>
        </w:tc>
      </w:tr>
      <w:tr w:rsidR="004C3E1A" w:rsidRPr="004C3E1A" w:rsidTr="002C4244">
        <w:trPr>
          <w:trHeight w:val="255"/>
        </w:trPr>
        <w:tc>
          <w:tcPr>
            <w:tcW w:w="820" w:type="dxa"/>
            <w:tcBorders>
              <w:top w:val="nil"/>
              <w:left w:val="nil"/>
              <w:bottom w:val="nil"/>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86</w:t>
            </w:r>
          </w:p>
        </w:tc>
        <w:tc>
          <w:tcPr>
            <w:tcW w:w="2920" w:type="dxa"/>
            <w:tcBorders>
              <w:top w:val="nil"/>
              <w:left w:val="nil"/>
              <w:bottom w:val="nil"/>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Health</w:t>
            </w:r>
          </w:p>
        </w:tc>
        <w:tc>
          <w:tcPr>
            <w:tcW w:w="1160" w:type="dxa"/>
            <w:tcBorders>
              <w:top w:val="nil"/>
              <w:left w:val="nil"/>
              <w:bottom w:val="nil"/>
              <w:right w:val="nil"/>
            </w:tcBorders>
            <w:shd w:val="clear" w:color="auto" w:fill="auto"/>
            <w:noWrap/>
            <w:vAlign w:val="bottom"/>
            <w:hideMark/>
          </w:tcPr>
          <w:p w:rsidR="004C3E1A" w:rsidRPr="004C3E1A" w:rsidRDefault="004C3E1A" w:rsidP="004C3E1A">
            <w:pPr>
              <w:jc w:val="center"/>
              <w:rPr>
                <w:rFonts w:ascii="Wingdings" w:hAnsi="Wingdings" w:cs="Arial"/>
                <w:color w:val="000000"/>
                <w:sz w:val="16"/>
                <w:szCs w:val="16"/>
              </w:rPr>
            </w:pPr>
            <w:r w:rsidRPr="004C3E1A">
              <w:rPr>
                <w:rFonts w:ascii="Wingdings" w:hAnsi="Wingdings" w:cs="Arial"/>
                <w:color w:val="000000"/>
                <w:sz w:val="16"/>
                <w:szCs w:val="16"/>
              </w:rPr>
              <w:sym w:font="Wingdings" w:char="F0FC"/>
            </w:r>
          </w:p>
        </w:tc>
        <w:tc>
          <w:tcPr>
            <w:tcW w:w="1160" w:type="dxa"/>
            <w:tcBorders>
              <w:top w:val="nil"/>
              <w:left w:val="nil"/>
              <w:bottom w:val="nil"/>
              <w:right w:val="nil"/>
            </w:tcBorders>
            <w:shd w:val="clear" w:color="auto" w:fill="auto"/>
            <w:noWrap/>
            <w:vAlign w:val="bottom"/>
            <w:hideMark/>
          </w:tcPr>
          <w:p w:rsidR="004C3E1A" w:rsidRPr="004C3E1A" w:rsidRDefault="004C3E1A" w:rsidP="004C3E1A">
            <w:pPr>
              <w:jc w:val="center"/>
              <w:rPr>
                <w:rFonts w:ascii="Wingdings" w:hAnsi="Wingdings" w:cs="Arial"/>
                <w:color w:val="000000"/>
                <w:sz w:val="16"/>
                <w:szCs w:val="16"/>
              </w:rPr>
            </w:pPr>
          </w:p>
        </w:tc>
      </w:tr>
      <w:tr w:rsidR="004C3E1A" w:rsidRPr="004C3E1A" w:rsidTr="002C4244">
        <w:trPr>
          <w:trHeight w:val="255"/>
        </w:trPr>
        <w:tc>
          <w:tcPr>
            <w:tcW w:w="820" w:type="dxa"/>
            <w:tcBorders>
              <w:top w:val="nil"/>
              <w:left w:val="nil"/>
              <w:bottom w:val="nil"/>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87, 88</w:t>
            </w:r>
          </w:p>
        </w:tc>
        <w:tc>
          <w:tcPr>
            <w:tcW w:w="2920" w:type="dxa"/>
            <w:tcBorders>
              <w:top w:val="nil"/>
              <w:left w:val="nil"/>
              <w:bottom w:val="nil"/>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Residential care and social work</w:t>
            </w:r>
          </w:p>
        </w:tc>
        <w:tc>
          <w:tcPr>
            <w:tcW w:w="1160" w:type="dxa"/>
            <w:tcBorders>
              <w:top w:val="nil"/>
              <w:left w:val="nil"/>
              <w:bottom w:val="nil"/>
              <w:right w:val="nil"/>
            </w:tcBorders>
            <w:shd w:val="clear" w:color="auto" w:fill="auto"/>
            <w:noWrap/>
            <w:vAlign w:val="bottom"/>
            <w:hideMark/>
          </w:tcPr>
          <w:p w:rsidR="004C3E1A" w:rsidRPr="004C3E1A" w:rsidRDefault="004C3E1A" w:rsidP="004C3E1A">
            <w:pPr>
              <w:jc w:val="center"/>
              <w:rPr>
                <w:rFonts w:ascii="Wingdings" w:hAnsi="Wingdings" w:cs="Arial"/>
                <w:color w:val="000000"/>
                <w:sz w:val="16"/>
                <w:szCs w:val="16"/>
              </w:rPr>
            </w:pPr>
          </w:p>
        </w:tc>
        <w:tc>
          <w:tcPr>
            <w:tcW w:w="1160" w:type="dxa"/>
            <w:tcBorders>
              <w:top w:val="nil"/>
              <w:left w:val="nil"/>
              <w:bottom w:val="nil"/>
              <w:right w:val="nil"/>
            </w:tcBorders>
            <w:shd w:val="clear" w:color="auto" w:fill="auto"/>
            <w:noWrap/>
            <w:vAlign w:val="bottom"/>
            <w:hideMark/>
          </w:tcPr>
          <w:p w:rsidR="004C3E1A" w:rsidRPr="004C3E1A" w:rsidRDefault="004C3E1A" w:rsidP="004C3E1A">
            <w:pPr>
              <w:jc w:val="center"/>
              <w:rPr>
                <w:rFonts w:ascii="Wingdings" w:hAnsi="Wingdings" w:cs="Arial"/>
                <w:color w:val="000000"/>
                <w:sz w:val="16"/>
                <w:szCs w:val="16"/>
              </w:rPr>
            </w:pPr>
            <w:r w:rsidRPr="004C3E1A">
              <w:rPr>
                <w:rFonts w:ascii="Wingdings" w:hAnsi="Wingdings" w:cs="Arial"/>
                <w:color w:val="000000"/>
                <w:sz w:val="16"/>
                <w:szCs w:val="16"/>
              </w:rPr>
              <w:sym w:font="Wingdings" w:char="F0FC"/>
            </w:r>
          </w:p>
        </w:tc>
      </w:tr>
      <w:tr w:rsidR="004C3E1A" w:rsidRPr="004C3E1A" w:rsidTr="002C4244">
        <w:trPr>
          <w:trHeight w:val="255"/>
        </w:trPr>
        <w:tc>
          <w:tcPr>
            <w:tcW w:w="820" w:type="dxa"/>
            <w:tcBorders>
              <w:top w:val="nil"/>
              <w:left w:val="nil"/>
              <w:bottom w:val="nil"/>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90</w:t>
            </w:r>
          </w:p>
        </w:tc>
        <w:tc>
          <w:tcPr>
            <w:tcW w:w="2920" w:type="dxa"/>
            <w:tcBorders>
              <w:top w:val="nil"/>
              <w:left w:val="nil"/>
              <w:bottom w:val="nil"/>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Creative services</w:t>
            </w:r>
          </w:p>
        </w:tc>
        <w:tc>
          <w:tcPr>
            <w:tcW w:w="1160" w:type="dxa"/>
            <w:tcBorders>
              <w:top w:val="nil"/>
              <w:left w:val="nil"/>
              <w:bottom w:val="nil"/>
              <w:right w:val="nil"/>
            </w:tcBorders>
            <w:shd w:val="clear" w:color="auto" w:fill="auto"/>
            <w:noWrap/>
            <w:vAlign w:val="bottom"/>
            <w:hideMark/>
          </w:tcPr>
          <w:p w:rsidR="004C3E1A" w:rsidRPr="004C3E1A" w:rsidRDefault="004C3E1A" w:rsidP="004C3E1A">
            <w:pPr>
              <w:jc w:val="center"/>
              <w:rPr>
                <w:rFonts w:cs="Arial"/>
                <w:color w:val="000000"/>
                <w:sz w:val="16"/>
                <w:szCs w:val="16"/>
              </w:rPr>
            </w:pPr>
          </w:p>
        </w:tc>
        <w:tc>
          <w:tcPr>
            <w:tcW w:w="1160" w:type="dxa"/>
            <w:tcBorders>
              <w:top w:val="nil"/>
              <w:left w:val="nil"/>
              <w:bottom w:val="nil"/>
              <w:right w:val="nil"/>
            </w:tcBorders>
            <w:shd w:val="clear" w:color="auto" w:fill="auto"/>
            <w:noWrap/>
            <w:vAlign w:val="bottom"/>
            <w:hideMark/>
          </w:tcPr>
          <w:p w:rsidR="004C3E1A" w:rsidRPr="004C3E1A" w:rsidRDefault="004C3E1A" w:rsidP="004C3E1A">
            <w:pPr>
              <w:jc w:val="center"/>
              <w:rPr>
                <w:rFonts w:ascii="Wingdings" w:hAnsi="Wingdings" w:cs="Arial"/>
                <w:color w:val="000000"/>
                <w:sz w:val="16"/>
                <w:szCs w:val="16"/>
              </w:rPr>
            </w:pPr>
            <w:r w:rsidRPr="004C3E1A">
              <w:rPr>
                <w:rFonts w:ascii="Wingdings" w:hAnsi="Wingdings" w:cs="Arial"/>
                <w:color w:val="000000"/>
                <w:sz w:val="16"/>
                <w:szCs w:val="16"/>
              </w:rPr>
              <w:sym w:font="Wingdings" w:char="F0FC"/>
            </w:r>
          </w:p>
        </w:tc>
      </w:tr>
      <w:tr w:rsidR="004C3E1A" w:rsidRPr="004C3E1A" w:rsidTr="002C4244">
        <w:trPr>
          <w:trHeight w:val="255"/>
        </w:trPr>
        <w:tc>
          <w:tcPr>
            <w:tcW w:w="820" w:type="dxa"/>
            <w:tcBorders>
              <w:top w:val="nil"/>
              <w:left w:val="nil"/>
              <w:bottom w:val="nil"/>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91</w:t>
            </w:r>
          </w:p>
        </w:tc>
        <w:tc>
          <w:tcPr>
            <w:tcW w:w="2920" w:type="dxa"/>
            <w:tcBorders>
              <w:top w:val="nil"/>
              <w:left w:val="nil"/>
              <w:bottom w:val="nil"/>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Cultural services</w:t>
            </w:r>
          </w:p>
        </w:tc>
        <w:tc>
          <w:tcPr>
            <w:tcW w:w="1160" w:type="dxa"/>
            <w:tcBorders>
              <w:top w:val="nil"/>
              <w:left w:val="nil"/>
              <w:bottom w:val="nil"/>
              <w:right w:val="nil"/>
            </w:tcBorders>
            <w:shd w:val="clear" w:color="auto" w:fill="auto"/>
            <w:noWrap/>
            <w:vAlign w:val="bottom"/>
            <w:hideMark/>
          </w:tcPr>
          <w:p w:rsidR="004C3E1A" w:rsidRPr="004C3E1A" w:rsidRDefault="004C3E1A" w:rsidP="004C3E1A">
            <w:pPr>
              <w:jc w:val="center"/>
              <w:rPr>
                <w:rFonts w:cs="Arial"/>
                <w:color w:val="000000"/>
                <w:sz w:val="16"/>
                <w:szCs w:val="16"/>
              </w:rPr>
            </w:pPr>
          </w:p>
        </w:tc>
        <w:tc>
          <w:tcPr>
            <w:tcW w:w="1160" w:type="dxa"/>
            <w:tcBorders>
              <w:top w:val="nil"/>
              <w:left w:val="nil"/>
              <w:bottom w:val="nil"/>
              <w:right w:val="nil"/>
            </w:tcBorders>
            <w:shd w:val="clear" w:color="auto" w:fill="auto"/>
            <w:noWrap/>
            <w:vAlign w:val="bottom"/>
            <w:hideMark/>
          </w:tcPr>
          <w:p w:rsidR="004C3E1A" w:rsidRPr="004C3E1A" w:rsidRDefault="004C3E1A" w:rsidP="004C3E1A">
            <w:pPr>
              <w:jc w:val="center"/>
              <w:rPr>
                <w:rFonts w:ascii="Wingdings" w:hAnsi="Wingdings" w:cs="Arial"/>
                <w:color w:val="000000"/>
                <w:sz w:val="16"/>
                <w:szCs w:val="16"/>
              </w:rPr>
            </w:pPr>
            <w:r w:rsidRPr="004C3E1A">
              <w:rPr>
                <w:rFonts w:ascii="Wingdings" w:hAnsi="Wingdings" w:cs="Arial"/>
                <w:color w:val="000000"/>
                <w:sz w:val="16"/>
                <w:szCs w:val="16"/>
              </w:rPr>
              <w:sym w:font="Wingdings" w:char="F0FC"/>
            </w:r>
          </w:p>
        </w:tc>
      </w:tr>
      <w:tr w:rsidR="004C3E1A" w:rsidRPr="004C3E1A" w:rsidTr="002C4244">
        <w:trPr>
          <w:trHeight w:val="270"/>
        </w:trPr>
        <w:tc>
          <w:tcPr>
            <w:tcW w:w="820" w:type="dxa"/>
            <w:tcBorders>
              <w:top w:val="nil"/>
              <w:left w:val="nil"/>
              <w:bottom w:val="single" w:sz="8" w:space="0" w:color="auto"/>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93</w:t>
            </w:r>
          </w:p>
        </w:tc>
        <w:tc>
          <w:tcPr>
            <w:tcW w:w="2920" w:type="dxa"/>
            <w:tcBorders>
              <w:top w:val="nil"/>
              <w:left w:val="nil"/>
              <w:bottom w:val="single" w:sz="8" w:space="0" w:color="auto"/>
              <w:right w:val="nil"/>
            </w:tcBorders>
            <w:shd w:val="clear" w:color="auto" w:fill="auto"/>
            <w:noWrap/>
            <w:vAlign w:val="bottom"/>
            <w:hideMark/>
          </w:tcPr>
          <w:p w:rsidR="004C3E1A" w:rsidRPr="004C3E1A" w:rsidRDefault="004C3E1A" w:rsidP="004C3E1A">
            <w:pPr>
              <w:rPr>
                <w:rFonts w:cs="Arial"/>
                <w:color w:val="000000"/>
                <w:sz w:val="16"/>
                <w:szCs w:val="16"/>
              </w:rPr>
            </w:pPr>
            <w:r w:rsidRPr="004C3E1A">
              <w:rPr>
                <w:rFonts w:cs="Arial"/>
                <w:color w:val="000000"/>
                <w:sz w:val="16"/>
                <w:szCs w:val="16"/>
              </w:rPr>
              <w:t>Sports &amp; recreation</w:t>
            </w:r>
          </w:p>
        </w:tc>
        <w:tc>
          <w:tcPr>
            <w:tcW w:w="1160" w:type="dxa"/>
            <w:tcBorders>
              <w:top w:val="nil"/>
              <w:left w:val="nil"/>
              <w:bottom w:val="single" w:sz="8" w:space="0" w:color="auto"/>
              <w:right w:val="nil"/>
            </w:tcBorders>
            <w:shd w:val="clear" w:color="auto" w:fill="auto"/>
            <w:noWrap/>
            <w:vAlign w:val="bottom"/>
            <w:hideMark/>
          </w:tcPr>
          <w:p w:rsidR="004C3E1A" w:rsidRPr="004C3E1A" w:rsidRDefault="004C3E1A" w:rsidP="004C3E1A">
            <w:pPr>
              <w:jc w:val="center"/>
              <w:rPr>
                <w:rFonts w:cs="Arial"/>
                <w:color w:val="000000"/>
                <w:sz w:val="16"/>
                <w:szCs w:val="16"/>
              </w:rPr>
            </w:pPr>
          </w:p>
        </w:tc>
        <w:tc>
          <w:tcPr>
            <w:tcW w:w="1160" w:type="dxa"/>
            <w:tcBorders>
              <w:top w:val="nil"/>
              <w:left w:val="nil"/>
              <w:bottom w:val="single" w:sz="8" w:space="0" w:color="auto"/>
              <w:right w:val="nil"/>
            </w:tcBorders>
            <w:shd w:val="clear" w:color="auto" w:fill="auto"/>
            <w:noWrap/>
            <w:vAlign w:val="bottom"/>
            <w:hideMark/>
          </w:tcPr>
          <w:p w:rsidR="004C3E1A" w:rsidRPr="004C3E1A" w:rsidRDefault="004C3E1A" w:rsidP="004C3E1A">
            <w:pPr>
              <w:jc w:val="center"/>
              <w:rPr>
                <w:rFonts w:ascii="Wingdings" w:hAnsi="Wingdings" w:cs="Arial"/>
                <w:color w:val="000000"/>
                <w:sz w:val="16"/>
                <w:szCs w:val="16"/>
              </w:rPr>
            </w:pPr>
            <w:r w:rsidRPr="004C3E1A">
              <w:rPr>
                <w:rFonts w:ascii="Wingdings" w:hAnsi="Wingdings" w:cs="Arial"/>
                <w:color w:val="000000"/>
                <w:sz w:val="16"/>
                <w:szCs w:val="16"/>
              </w:rPr>
              <w:sym w:font="Wingdings" w:char="F0FC"/>
            </w:r>
          </w:p>
        </w:tc>
      </w:tr>
    </w:tbl>
    <w:p w:rsidR="00D91EB1" w:rsidRPr="0047044B" w:rsidRDefault="00D91EB1" w:rsidP="00BB37D2">
      <w:pPr>
        <w:pStyle w:val="BodyText"/>
      </w:pPr>
    </w:p>
    <w:p w:rsidR="00554F33" w:rsidRPr="0047044B" w:rsidRDefault="00554F33" w:rsidP="00BB37D2">
      <w:pPr>
        <w:pStyle w:val="BodyText"/>
      </w:pPr>
      <w:r w:rsidRPr="0047044B">
        <w:t xml:space="preserve">The inputs to government are compiled from the data sources listed in Annex </w:t>
      </w:r>
      <w:r w:rsidR="00BC607B" w:rsidRPr="0047044B">
        <w:t>A</w:t>
      </w:r>
      <w:r w:rsidRPr="0047044B">
        <w:t xml:space="preserve"> and are used to construct the government contribution to the intermediate consumption </w:t>
      </w:r>
      <w:r w:rsidR="00AD7A29">
        <w:t>part of the Use Table</w:t>
      </w:r>
      <w:r w:rsidRPr="0047044B">
        <w:t>.  These input</w:t>
      </w:r>
      <w:r w:rsidR="00AD7A29">
        <w:t>s</w:t>
      </w:r>
      <w:r w:rsidRPr="0047044B">
        <w:t xml:space="preserve"> are also used to value the total output of government.  This output can be broken down into market output, output for own </w:t>
      </w:r>
      <w:r w:rsidR="00AD7A29">
        <w:t>final use</w:t>
      </w:r>
      <w:r w:rsidRPr="0047044B">
        <w:t xml:space="preserve">, and other non-market output.  The split between these three categories is estimated by apportioning the total output using proportions derived from the UK tables and used to </w:t>
      </w:r>
      <w:r w:rsidR="00944282" w:rsidRPr="0047044B">
        <w:t>estimate</w:t>
      </w:r>
      <w:r w:rsidRPr="0047044B">
        <w:t xml:space="preserve"> the </w:t>
      </w:r>
      <w:r w:rsidR="00944282" w:rsidRPr="0047044B">
        <w:t xml:space="preserve">central and local </w:t>
      </w:r>
      <w:r w:rsidRPr="0047044B">
        <w:t xml:space="preserve">government </w:t>
      </w:r>
      <w:r w:rsidR="00944282" w:rsidRPr="0047044B">
        <w:t>components of</w:t>
      </w:r>
      <w:r w:rsidRPr="0047044B">
        <w:t xml:space="preserve"> the </w:t>
      </w:r>
      <w:r w:rsidR="00AD7A29">
        <w:t>Supply T</w:t>
      </w:r>
      <w:r w:rsidR="00CF35FC">
        <w:t>able</w:t>
      </w:r>
      <w:r w:rsidR="00AD7A29">
        <w:t>.</w:t>
      </w:r>
    </w:p>
    <w:p w:rsidR="00944282" w:rsidRPr="0047044B" w:rsidRDefault="00554F33" w:rsidP="00BB37D2">
      <w:pPr>
        <w:pStyle w:val="BodyText"/>
      </w:pPr>
      <w:r w:rsidRPr="0047044B">
        <w:t xml:space="preserve">The sum of government market output and government non-market output for each service industry of government is </w:t>
      </w:r>
      <w:r w:rsidR="00D3315A" w:rsidRPr="0047044B">
        <w:t>recorded i</w:t>
      </w:r>
      <w:r w:rsidRPr="0047044B">
        <w:t xml:space="preserve">n </w:t>
      </w:r>
      <w:r w:rsidR="00D3315A" w:rsidRPr="0047044B">
        <w:t xml:space="preserve">the principal product category </w:t>
      </w:r>
      <w:r w:rsidRPr="0047044B">
        <w:t>of each industry column</w:t>
      </w:r>
      <w:r w:rsidR="00375E9C" w:rsidRPr="0047044B">
        <w:t xml:space="preserve"> in the government </w:t>
      </w:r>
      <w:r w:rsidR="00AD7A29">
        <w:t>Supply T</w:t>
      </w:r>
      <w:r w:rsidR="00CF35FC">
        <w:t>ables</w:t>
      </w:r>
      <w:r w:rsidRPr="0047044B">
        <w:t>, and the output</w:t>
      </w:r>
      <w:r w:rsidR="00375E9C" w:rsidRPr="0047044B">
        <w:t xml:space="preserve"> for own f</w:t>
      </w:r>
      <w:r w:rsidR="00AD7A29">
        <w:t>inal use</w:t>
      </w:r>
      <w:r w:rsidR="00375E9C" w:rsidRPr="0047044B">
        <w:t xml:space="preserve"> split between the construction and computer &amp; related activities </w:t>
      </w:r>
      <w:r w:rsidR="00865341">
        <w:t>products using UK proportions.</w:t>
      </w:r>
    </w:p>
    <w:p w:rsidR="00D91EB1" w:rsidRPr="0047044B" w:rsidRDefault="00375E9C" w:rsidP="00BB37D2">
      <w:pPr>
        <w:pStyle w:val="BodyText"/>
      </w:pPr>
      <w:r w:rsidRPr="0047044B">
        <w:t>Th</w:t>
      </w:r>
      <w:r w:rsidR="00944282" w:rsidRPr="0047044B">
        <w:t>e</w:t>
      </w:r>
      <w:r w:rsidRPr="0047044B">
        <w:t>s</w:t>
      </w:r>
      <w:r w:rsidR="00944282" w:rsidRPr="0047044B">
        <w:t>e</w:t>
      </w:r>
      <w:r w:rsidRPr="0047044B">
        <w:t xml:space="preserve"> government </w:t>
      </w:r>
      <w:r w:rsidR="00AD7A29">
        <w:t>Supply T</w:t>
      </w:r>
      <w:r w:rsidR="00CF35FC">
        <w:t>ables</w:t>
      </w:r>
      <w:r w:rsidRPr="0047044B">
        <w:t xml:space="preserve"> </w:t>
      </w:r>
      <w:r w:rsidR="00944282" w:rsidRPr="0047044B">
        <w:t>are</w:t>
      </w:r>
      <w:r w:rsidRPr="0047044B">
        <w:t xml:space="preserve"> then summed with </w:t>
      </w:r>
      <w:r w:rsidR="00944282" w:rsidRPr="0047044B">
        <w:t xml:space="preserve">the </w:t>
      </w:r>
      <w:r w:rsidRPr="0047044B">
        <w:t xml:space="preserve">estimates for non-government </w:t>
      </w:r>
      <w:r w:rsidRPr="0047044B">
        <w:lastRenderedPageBreak/>
        <w:t xml:space="preserve">activity in each of these </w:t>
      </w:r>
      <w:r w:rsidR="00944282" w:rsidRPr="0047044B">
        <w:t>industries</w:t>
      </w:r>
      <w:r w:rsidRPr="0047044B">
        <w:t xml:space="preserve"> derived from the ABS to produce single combined government and non-government columns for each of the service industries of government in the </w:t>
      </w:r>
      <w:r w:rsidR="00AD7A29">
        <w:t>Supply T</w:t>
      </w:r>
      <w:r w:rsidR="00CF35FC">
        <w:t>able</w:t>
      </w:r>
      <w:r w:rsidRPr="0047044B">
        <w:t>.</w:t>
      </w:r>
    </w:p>
    <w:p w:rsidR="00021856" w:rsidRPr="0047044B" w:rsidRDefault="00375E9C" w:rsidP="00BB37D2">
      <w:pPr>
        <w:pStyle w:val="BodyText"/>
      </w:pPr>
      <w:r w:rsidRPr="0047044B">
        <w:t>Under the National Accounts framework, government</w:t>
      </w:r>
      <w:r w:rsidR="0037749F">
        <w:t xml:space="preserve"> activities are presented in such a way that it appear</w:t>
      </w:r>
      <w:r w:rsidR="002C4244">
        <w:t>s</w:t>
      </w:r>
      <w:r w:rsidR="0037749F">
        <w:t xml:space="preserve"> to be</w:t>
      </w:r>
      <w:r w:rsidRPr="0047044B">
        <w:t xml:space="preserve"> the final consumer of its own non-market output</w:t>
      </w:r>
      <w:r w:rsidR="0037749F">
        <w:t>, or put another way, government, on behalf of the people, fund a range of activities across the public services</w:t>
      </w:r>
      <w:r w:rsidRPr="0047044B">
        <w:t xml:space="preserve">.  </w:t>
      </w:r>
      <w:r w:rsidR="00D3315A" w:rsidRPr="0047044B">
        <w:t>To reflect this, columns for the final consumption expenditure of central and local government appear in the fi</w:t>
      </w:r>
      <w:r w:rsidR="00AD7A29">
        <w:t>nal demands section of the Use T</w:t>
      </w:r>
      <w:r w:rsidR="00D3315A" w:rsidRPr="0047044B">
        <w:t xml:space="preserve">able.  </w:t>
      </w:r>
      <w:r w:rsidR="006F72F0">
        <w:t xml:space="preserve">These columns display the total </w:t>
      </w:r>
      <w:r w:rsidR="00D3315A" w:rsidRPr="0047044B">
        <w:t xml:space="preserve">non-market output of government </w:t>
      </w:r>
      <w:r w:rsidR="006F72F0">
        <w:t xml:space="preserve">provided for free plus social transfers in kind market production provision by government </w:t>
      </w:r>
      <w:r w:rsidR="00D3315A" w:rsidRPr="0047044B">
        <w:t xml:space="preserve">by </w:t>
      </w:r>
      <w:r w:rsidR="00CF35FC">
        <w:t>product</w:t>
      </w:r>
      <w:r w:rsidR="006F72F0">
        <w:t>.</w:t>
      </w:r>
    </w:p>
    <w:p w:rsidR="00A91420" w:rsidRPr="0047044B" w:rsidRDefault="00AD7A29" w:rsidP="00157B9A">
      <w:pPr>
        <w:pStyle w:val="Heading3"/>
      </w:pPr>
      <w:bookmarkStart w:id="136" w:name="_Toc290646645"/>
      <w:bookmarkStart w:id="137" w:name="_Toc290647175"/>
      <w:bookmarkStart w:id="138" w:name="_Toc290647222"/>
      <w:bookmarkStart w:id="139" w:name="_Toc292468955"/>
      <w:bookmarkStart w:id="140" w:name="_Toc497137010"/>
      <w:r>
        <w:t>T</w:t>
      </w:r>
      <w:r w:rsidR="000A5718" w:rsidRPr="0047044B">
        <w:t>reatment of</w:t>
      </w:r>
      <w:r w:rsidR="00A91420" w:rsidRPr="0047044B">
        <w:t xml:space="preserve"> Financial Services</w:t>
      </w:r>
      <w:bookmarkEnd w:id="136"/>
      <w:bookmarkEnd w:id="137"/>
      <w:bookmarkEnd w:id="138"/>
      <w:bookmarkEnd w:id="139"/>
      <w:bookmarkEnd w:id="140"/>
    </w:p>
    <w:p w:rsidR="005C0C8D" w:rsidRDefault="00F72C9F" w:rsidP="00BB37D2">
      <w:pPr>
        <w:pStyle w:val="BodyText"/>
      </w:pPr>
      <w:r>
        <w:t>For an explanation on Financial Intermediation Service Indirectly Measured (FISIM) and the Financial Services Adjustment (FSA), s</w:t>
      </w:r>
      <w:r w:rsidR="00A91420" w:rsidRPr="0047044B">
        <w:t>ee</w:t>
      </w:r>
      <w:r>
        <w:t>:</w:t>
      </w:r>
      <w:r w:rsidR="00865341">
        <w:tab/>
      </w:r>
      <w:r w:rsidR="006F6D6A">
        <w:t xml:space="preserve"> </w:t>
      </w:r>
      <w:hyperlink r:id="rId32" w:history="1">
        <w:r w:rsidR="006F6D6A" w:rsidRPr="001B53D0">
          <w:rPr>
            <w:rStyle w:val="Hyperlink"/>
          </w:rPr>
          <w:t>http://www.gov.scot/Topics/Statistics/Browse/Economy/papers/SES2008A3</w:t>
        </w:r>
      </w:hyperlink>
    </w:p>
    <w:p w:rsidR="00A91420" w:rsidRPr="0047044B" w:rsidRDefault="00A91420" w:rsidP="00BB37D2">
      <w:pPr>
        <w:pStyle w:val="BodyText"/>
      </w:pPr>
      <w:r w:rsidRPr="0047044B">
        <w:t>Data on use of F</w:t>
      </w:r>
      <w:r w:rsidR="00AD7A29">
        <w:t>inancial I</w:t>
      </w:r>
      <w:r w:rsidR="00157B9A">
        <w:t>ntermediation Service Indirectly Measured (F</w:t>
      </w:r>
      <w:r w:rsidRPr="0047044B">
        <w:t>ISIM</w:t>
      </w:r>
      <w:r w:rsidR="00157B9A">
        <w:t>)</w:t>
      </w:r>
      <w:r w:rsidRPr="0047044B">
        <w:t xml:space="preserve"> by industry and market/non-market classification are available for the UK.  From these data FISIM Use as a proportion of GVA (for intermediate uses of FISIM) and final consumption category (for final uses of FISIM) are calculated by industry for both market and non-market producers’ FISIM demand.  These proportions are then applied to Scottish GVA by industry and final demands by sector to obtain Scottish estimates of FISIM use by industry.</w:t>
      </w:r>
    </w:p>
    <w:p w:rsidR="00BC765D" w:rsidRDefault="00CD0EC8" w:rsidP="00BB37D2">
      <w:pPr>
        <w:pStyle w:val="BodyText"/>
      </w:pPr>
      <w:r>
        <w:t>Prior to source data already taking into account such FISIM adjustments, i</w:t>
      </w:r>
      <w:r w:rsidR="00AD7A29">
        <w:t>n the Use Table, t</w:t>
      </w:r>
      <w:r w:rsidR="00A91420" w:rsidRPr="0047044B">
        <w:t xml:space="preserve">he market FISIM estimates </w:t>
      </w:r>
      <w:r>
        <w:t>were</w:t>
      </w:r>
      <w:r w:rsidRPr="0047044B">
        <w:t xml:space="preserve"> </w:t>
      </w:r>
      <w:r w:rsidR="00A91420" w:rsidRPr="0047044B">
        <w:t xml:space="preserve">subtracted from the Gross Operating Surplus component of GVA by industry and the market and non-market FISIM estimates added onto the intermediate consumption of the banking </w:t>
      </w:r>
      <w:r w:rsidR="001E1D20" w:rsidRPr="0047044B">
        <w:t>product</w:t>
      </w:r>
      <w:r w:rsidR="00A91420" w:rsidRPr="0047044B">
        <w:t xml:space="preserve"> for each industry</w:t>
      </w:r>
      <w:r w:rsidR="00A234D6" w:rsidRPr="0047044B">
        <w:t xml:space="preserve"> and market final demand category (resident and non-resident household expenditure</w:t>
      </w:r>
      <w:r w:rsidR="00BC765D" w:rsidRPr="0047044B">
        <w:t xml:space="preserve"> and exports</w:t>
      </w:r>
      <w:r w:rsidR="00A234D6" w:rsidRPr="0047044B">
        <w:t>)</w:t>
      </w:r>
      <w:r w:rsidR="00A91420" w:rsidRPr="0047044B">
        <w:t xml:space="preserve">. </w:t>
      </w:r>
      <w:r w:rsidR="00A234D6" w:rsidRPr="0047044B">
        <w:t xml:space="preserve">Non-market </w:t>
      </w:r>
      <w:r w:rsidR="00BC765D" w:rsidRPr="0047044B">
        <w:t xml:space="preserve">industry </w:t>
      </w:r>
      <w:r w:rsidR="00A234D6" w:rsidRPr="0047044B">
        <w:t xml:space="preserve">FISIM estimates </w:t>
      </w:r>
      <w:r>
        <w:t>were</w:t>
      </w:r>
      <w:r w:rsidRPr="0047044B">
        <w:t xml:space="preserve"> </w:t>
      </w:r>
      <w:r w:rsidR="00BC765D" w:rsidRPr="0047044B">
        <w:t xml:space="preserve">added to their equivalent product within NPISH, Local or Central Government columns. For example R&amp;D FISIM </w:t>
      </w:r>
      <w:r>
        <w:t>wa</w:t>
      </w:r>
      <w:r w:rsidR="00BC765D" w:rsidRPr="0047044B">
        <w:t xml:space="preserve">s added to NPISH product 108 and Local Authority education FISIM </w:t>
      </w:r>
      <w:r>
        <w:t>wa</w:t>
      </w:r>
      <w:r w:rsidR="00BC765D" w:rsidRPr="0047044B">
        <w:t>s added to Local Government final demand product 116. Since these non-market adjustments affect the balance between supply and demand, equivalent offsetting adju</w:t>
      </w:r>
      <w:r w:rsidR="00AD7A29">
        <w:t>stments are made to the Supply T</w:t>
      </w:r>
      <w:r w:rsidR="00BC765D" w:rsidRPr="0047044B">
        <w:t>able.</w:t>
      </w:r>
    </w:p>
    <w:p w:rsidR="00CD0EC8" w:rsidRPr="0047044B" w:rsidRDefault="00CD0EC8" w:rsidP="00BB37D2">
      <w:pPr>
        <w:pStyle w:val="BodyText"/>
      </w:pPr>
      <w:r>
        <w:t>However, as more and more data sources are now compliant with the new FISIM methodology it has become unnecessary to estimate Scottish FISIM and adjust the raw data accordingly.</w:t>
      </w:r>
    </w:p>
    <w:p w:rsidR="00824C9D" w:rsidRPr="0047044B" w:rsidRDefault="00DD5F1F" w:rsidP="00157B9A">
      <w:pPr>
        <w:pStyle w:val="Heading3"/>
      </w:pPr>
      <w:bookmarkStart w:id="141" w:name="_Toc290646646"/>
      <w:bookmarkStart w:id="142" w:name="_Toc290647176"/>
      <w:bookmarkStart w:id="143" w:name="_Toc290647223"/>
      <w:bookmarkStart w:id="144" w:name="_Toc292468956"/>
      <w:bookmarkStart w:id="145" w:name="_Toc497137011"/>
      <w:r w:rsidRPr="0047044B">
        <w:t>Constraining to Regional Accounts</w:t>
      </w:r>
      <w:bookmarkEnd w:id="141"/>
      <w:bookmarkEnd w:id="142"/>
      <w:bookmarkEnd w:id="143"/>
      <w:r w:rsidR="00AD7A29">
        <w:t xml:space="preserve"> estimates of GVA</w:t>
      </w:r>
      <w:bookmarkEnd w:id="144"/>
      <w:bookmarkEnd w:id="145"/>
    </w:p>
    <w:p w:rsidR="00C84785" w:rsidRPr="0047044B" w:rsidRDefault="0084405B" w:rsidP="00BB37D2">
      <w:pPr>
        <w:pStyle w:val="BodyText"/>
      </w:pPr>
      <w:r w:rsidRPr="0047044B">
        <w:t xml:space="preserve">Having constructed our initial </w:t>
      </w:r>
      <w:r w:rsidR="001E1D20" w:rsidRPr="0047044B">
        <w:t>Supply</w:t>
      </w:r>
      <w:r w:rsidR="00AD7A29">
        <w:t xml:space="preserve"> and Use T</w:t>
      </w:r>
      <w:r w:rsidRPr="0047044B">
        <w:t>ables,</w:t>
      </w:r>
      <w:r w:rsidR="008D0469" w:rsidRPr="0047044B">
        <w:t xml:space="preserve"> the GVA figures are constrained (unless explicitly adjusted; see below) to the raw </w:t>
      </w:r>
      <w:r w:rsidR="008D0469" w:rsidRPr="00BB37D2">
        <w:rPr>
          <w:rFonts w:cs="Arial"/>
        </w:rPr>
        <w:t>Regional Accounts</w:t>
      </w:r>
      <w:r w:rsidR="00BB37D2">
        <w:rPr>
          <w:rStyle w:val="FootnoteReference"/>
          <w:rFonts w:cs="Arial"/>
        </w:rPr>
        <w:footnoteReference w:id="17"/>
      </w:r>
      <w:r w:rsidR="008D0469" w:rsidRPr="0047044B">
        <w:t xml:space="preserve"> figures published by </w:t>
      </w:r>
      <w:r w:rsidR="00AD7A29">
        <w:t>ONS</w:t>
      </w:r>
      <w:r w:rsidR="008D0469" w:rsidRPr="0047044B">
        <w:t xml:space="preserve">. </w:t>
      </w:r>
    </w:p>
    <w:p w:rsidR="008D0469" w:rsidRPr="0047044B" w:rsidRDefault="008D0469" w:rsidP="00BB37D2">
      <w:pPr>
        <w:pStyle w:val="BodyText"/>
      </w:pPr>
      <w:r w:rsidRPr="0047044B">
        <w:t xml:space="preserve">Over the past few years there have been several industries where we have felt Scottish GVA estimates </w:t>
      </w:r>
      <w:r w:rsidR="00CD7D96">
        <w:t xml:space="preserve">taken from the </w:t>
      </w:r>
      <w:r w:rsidR="00AD7A29">
        <w:t xml:space="preserve">ONS </w:t>
      </w:r>
      <w:r w:rsidR="00CD7D96">
        <w:t>Annual Business Survey</w:t>
      </w:r>
      <w:r w:rsidRPr="0047044B">
        <w:t xml:space="preserve"> were more accurate than </w:t>
      </w:r>
      <w:r w:rsidR="00AD7A29">
        <w:t xml:space="preserve">ONS </w:t>
      </w:r>
      <w:r w:rsidRPr="0047044B">
        <w:t xml:space="preserve">Regional Accounts top down </w:t>
      </w:r>
      <w:r w:rsidR="00EA614F">
        <w:t>regionalisation</w:t>
      </w:r>
      <w:r w:rsidRPr="0047044B">
        <w:t xml:space="preserve"> of UK estimates. Although expert users recognise the advantages of having a fully UK Regional Accounts con</w:t>
      </w:r>
      <w:r w:rsidR="00AD7A29">
        <w:t xml:space="preserve">strained set of Scottish Supply and </w:t>
      </w:r>
      <w:r w:rsidRPr="0047044B">
        <w:t xml:space="preserve">Use Tables, it was agreed by the </w:t>
      </w:r>
      <w:r w:rsidR="002E188E">
        <w:t>Scottish Input-Output Expert Users G</w:t>
      </w:r>
      <w:r w:rsidRPr="0047044B">
        <w:t>roup</w:t>
      </w:r>
      <w:r w:rsidR="002E188E">
        <w:rPr>
          <w:rStyle w:val="FootnoteReference"/>
        </w:rPr>
        <w:footnoteReference w:id="18"/>
      </w:r>
      <w:r w:rsidRPr="0047044B">
        <w:t xml:space="preserve"> </w:t>
      </w:r>
      <w:r w:rsidR="002E188E">
        <w:t xml:space="preserve">in 2009 </w:t>
      </w:r>
      <w:r w:rsidRPr="0047044B">
        <w:t>that, where other data sources suggest otherwise, it would be preferable for the Scottish estimates to depart from this constraint.</w:t>
      </w:r>
    </w:p>
    <w:p w:rsidR="008D0469" w:rsidRPr="0047044B" w:rsidRDefault="008D0469" w:rsidP="00BB37D2">
      <w:pPr>
        <w:pStyle w:val="BodyText"/>
      </w:pPr>
      <w:r w:rsidRPr="0047044B">
        <w:t>As a result, there has been close working with the Scottish National Accounts Pro</w:t>
      </w:r>
      <w:r w:rsidR="0025361B">
        <w:t>gramme</w:t>
      </w:r>
      <w:r w:rsidRPr="0047044B">
        <w:t xml:space="preserve"> (SNAP) and GDP(O) Short Term Indicators teams over a number of months to enforce consistency between each source to allow triangulation between Regional Accounts and alternative estimates. Constraining to Regional Accounts raw estimates has been the initial and default position, only breaking away from Regional Accounts estimates where it was felt </w:t>
      </w:r>
      <w:r w:rsidRPr="0047044B">
        <w:lastRenderedPageBreak/>
        <w:t>necessary due to access to better data and where differences could be explained with reference to the Regional Accounts methodologies.</w:t>
      </w:r>
    </w:p>
    <w:p w:rsidR="00C84785" w:rsidRPr="003A26E1" w:rsidRDefault="00C84785" w:rsidP="00BB37D2">
      <w:pPr>
        <w:pStyle w:val="BodyText"/>
      </w:pPr>
      <w:r w:rsidRPr="0047044B">
        <w:t>Where adjustments have been made which affect the level of GVA for an industry, a corresponding proportionate adjustment is made to total output (and its components) in order to preserve the ratio of GVA to total output.  This ensures that our estimated production functions for each industry are not distorted as a result of the constraining process.</w:t>
      </w:r>
    </w:p>
    <w:p w:rsidR="00C84785" w:rsidRPr="0047044B" w:rsidRDefault="00C84785" w:rsidP="00BB37D2">
      <w:pPr>
        <w:pStyle w:val="BodyText"/>
      </w:pPr>
      <w:r w:rsidRPr="0047044B">
        <w:t xml:space="preserve">When the constraining process is complete, the </w:t>
      </w:r>
      <w:r w:rsidR="001E1D20" w:rsidRPr="0047044B">
        <w:t>Supply Table</w:t>
      </w:r>
      <w:r w:rsidRPr="0047044B">
        <w:t xml:space="preserve"> columns are scaled so that the balance of inputs by industry </w:t>
      </w:r>
      <w:r w:rsidR="004F4550">
        <w:t>and</w:t>
      </w:r>
      <w:r w:rsidR="004F4550" w:rsidRPr="0047044B">
        <w:t xml:space="preserve"> </w:t>
      </w:r>
      <w:r w:rsidRPr="0047044B">
        <w:t>outputs by industry is maintained.</w:t>
      </w:r>
    </w:p>
    <w:p w:rsidR="00C84785" w:rsidRPr="0047044B" w:rsidRDefault="00304A61" w:rsidP="00304A61">
      <w:pPr>
        <w:pStyle w:val="Heading2"/>
      </w:pPr>
      <w:r>
        <w:rPr>
          <w:sz w:val="28"/>
        </w:rPr>
        <w:br w:type="page"/>
      </w:r>
      <w:bookmarkStart w:id="146" w:name="_Toc290646647"/>
      <w:bookmarkStart w:id="147" w:name="_Toc290647177"/>
      <w:bookmarkStart w:id="148" w:name="_Toc290647224"/>
      <w:bookmarkStart w:id="149" w:name="_Toc292468957"/>
      <w:bookmarkStart w:id="150" w:name="_Toc497137012"/>
      <w:r w:rsidR="00DD5F1F" w:rsidRPr="0047044B">
        <w:lastRenderedPageBreak/>
        <w:t xml:space="preserve">From </w:t>
      </w:r>
      <w:r w:rsidR="002E188E">
        <w:t>D</w:t>
      </w:r>
      <w:r w:rsidR="008D0469" w:rsidRPr="0047044B">
        <w:t xml:space="preserve">omestic Supply at basic prices to </w:t>
      </w:r>
      <w:r w:rsidR="00DD5F1F" w:rsidRPr="0047044B">
        <w:t>Supply</w:t>
      </w:r>
      <w:r w:rsidR="008D0469" w:rsidRPr="0047044B">
        <w:t xml:space="preserve"> at purchasers’ prices</w:t>
      </w:r>
      <w:r w:rsidR="00DD5F1F" w:rsidRPr="0047044B">
        <w:t>:</w:t>
      </w:r>
      <w:r w:rsidR="004A54D7">
        <w:br/>
      </w:r>
      <w:r w:rsidR="00FC0E64" w:rsidRPr="0047044B">
        <w:t xml:space="preserve">Compiling the valuation </w:t>
      </w:r>
      <w:r w:rsidR="00CD61CB" w:rsidRPr="0047044B">
        <w:t xml:space="preserve">and imports </w:t>
      </w:r>
      <w:r w:rsidR="00DD5F1F" w:rsidRPr="0047044B">
        <w:t>tables</w:t>
      </w:r>
      <w:bookmarkEnd w:id="146"/>
      <w:bookmarkEnd w:id="147"/>
      <w:bookmarkEnd w:id="148"/>
      <w:bookmarkEnd w:id="149"/>
      <w:bookmarkEnd w:id="150"/>
    </w:p>
    <w:p w:rsidR="00CD61CB" w:rsidRDefault="00CD61CB" w:rsidP="00CD7D96">
      <w:pPr>
        <w:pStyle w:val="BodyText"/>
      </w:pPr>
      <w:r w:rsidRPr="0047044B">
        <w:t xml:space="preserve">The </w:t>
      </w:r>
      <w:r w:rsidR="002E188E">
        <w:t>Supply T</w:t>
      </w:r>
      <w:r w:rsidR="008D0469" w:rsidRPr="0047044B">
        <w:t>able at basic prices</w:t>
      </w:r>
      <w:r w:rsidRPr="0047044B">
        <w:t xml:space="preserve"> details the domestic output of </w:t>
      </w:r>
      <w:r w:rsidR="008D0469" w:rsidRPr="0047044B">
        <w:t>products</w:t>
      </w:r>
      <w:r w:rsidRPr="0047044B">
        <w:t xml:space="preserve"> at basic prices by industry.  The Use </w:t>
      </w:r>
      <w:r w:rsidR="008D0469" w:rsidRPr="0047044B">
        <w:t>Table</w:t>
      </w:r>
      <w:r w:rsidRPr="0047044B">
        <w:t xml:space="preserve"> details the consumption of all </w:t>
      </w:r>
      <w:r w:rsidR="008D0469" w:rsidRPr="0047044B">
        <w:t xml:space="preserve">products </w:t>
      </w:r>
      <w:r w:rsidRPr="0047044B">
        <w:t>by industry and final consumers at purchaser</w:t>
      </w:r>
      <w:r w:rsidR="008D0469" w:rsidRPr="0047044B">
        <w:t>s’</w:t>
      </w:r>
      <w:r w:rsidRPr="0047044B">
        <w:t xml:space="preserve"> prices.  In order to bridge this gap, we need information on:</w:t>
      </w:r>
    </w:p>
    <w:tbl>
      <w:tblPr>
        <w:tblW w:w="8640" w:type="dxa"/>
        <w:tblInd w:w="648" w:type="dxa"/>
        <w:tblLook w:val="01E0" w:firstRow="1" w:lastRow="1" w:firstColumn="1" w:lastColumn="1" w:noHBand="0" w:noVBand="0"/>
      </w:tblPr>
      <w:tblGrid>
        <w:gridCol w:w="3429"/>
        <w:gridCol w:w="5211"/>
      </w:tblGrid>
      <w:tr w:rsidR="002D4737" w:rsidRPr="0047044B" w:rsidTr="003A26E1">
        <w:tc>
          <w:tcPr>
            <w:tcW w:w="3429" w:type="dxa"/>
          </w:tcPr>
          <w:p w:rsidR="002D4737" w:rsidRPr="0047044B" w:rsidRDefault="002D4737" w:rsidP="002D4737">
            <w:pPr>
              <w:numPr>
                <w:ilvl w:val="0"/>
                <w:numId w:val="1"/>
              </w:numPr>
              <w:rPr>
                <w:rFonts w:cs="Arial"/>
                <w:noProof/>
              </w:rPr>
            </w:pPr>
            <w:r w:rsidRPr="0047044B">
              <w:rPr>
                <w:rFonts w:cs="Arial"/>
                <w:noProof/>
              </w:rPr>
              <w:t>Imports</w:t>
            </w:r>
          </w:p>
        </w:tc>
        <w:tc>
          <w:tcPr>
            <w:tcW w:w="5211" w:type="dxa"/>
            <w:vAlign w:val="center"/>
          </w:tcPr>
          <w:p w:rsidR="002D4737" w:rsidRPr="0047044B" w:rsidRDefault="008D0469" w:rsidP="00304A61">
            <w:pPr>
              <w:rPr>
                <w:rFonts w:cs="Arial"/>
              </w:rPr>
            </w:pPr>
            <w:r w:rsidRPr="0047044B">
              <w:rPr>
                <w:rFonts w:cs="Arial"/>
              </w:rPr>
              <w:t xml:space="preserve">Products </w:t>
            </w:r>
            <w:r w:rsidR="002D4737" w:rsidRPr="0047044B">
              <w:rPr>
                <w:rFonts w:cs="Arial"/>
              </w:rPr>
              <w:t>used by Scottish consumers which are not domestically produced</w:t>
            </w:r>
          </w:p>
        </w:tc>
      </w:tr>
      <w:tr w:rsidR="002E188E" w:rsidRPr="0047044B" w:rsidTr="003A26E1">
        <w:tc>
          <w:tcPr>
            <w:tcW w:w="3429" w:type="dxa"/>
          </w:tcPr>
          <w:p w:rsidR="002E188E" w:rsidRPr="0047044B" w:rsidRDefault="008413BF" w:rsidP="007066AA">
            <w:pPr>
              <w:numPr>
                <w:ilvl w:val="0"/>
                <w:numId w:val="1"/>
              </w:numPr>
              <w:rPr>
                <w:rFonts w:cs="Arial"/>
              </w:rPr>
            </w:pPr>
            <w:r>
              <w:rPr>
                <w:rFonts w:cs="Arial"/>
                <w:noProof/>
              </w:rPr>
              <mc:AlternateContent>
                <mc:Choice Requires="wps">
                  <w:drawing>
                    <wp:anchor distT="0" distB="0" distL="114300" distR="114300" simplePos="0" relativeHeight="251656704" behindDoc="0" locked="0" layoutInCell="1" allowOverlap="1" wp14:anchorId="3A391AD4" wp14:editId="3BC705B1">
                      <wp:simplePos x="0" y="0"/>
                      <wp:positionH relativeFrom="column">
                        <wp:posOffset>2019300</wp:posOffset>
                      </wp:positionH>
                      <wp:positionV relativeFrom="paragraph">
                        <wp:posOffset>12700</wp:posOffset>
                      </wp:positionV>
                      <wp:extent cx="114300" cy="594360"/>
                      <wp:effectExtent l="0" t="0" r="19050" b="15240"/>
                      <wp:wrapNone/>
                      <wp:docPr id="3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94360"/>
                              </a:xfrm>
                              <a:prstGeom prst="rightBrace">
                                <a:avLst>
                                  <a:gd name="adj1" fmla="val 370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159pt;margin-top:1pt;width:9pt;height:4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" adj="1538"/>
                  </w:pict>
                </mc:Fallback>
              </mc:AlternateContent>
            </w:r>
            <w:r w:rsidR="002E188E">
              <w:rPr>
                <w:rFonts w:cs="Arial"/>
              </w:rPr>
              <w:t>Distribut</w:t>
            </w:r>
            <w:r w:rsidR="002E188E" w:rsidRPr="0047044B">
              <w:rPr>
                <w:rFonts w:cs="Arial"/>
              </w:rPr>
              <w:t>o</w:t>
            </w:r>
            <w:r w:rsidR="002E188E">
              <w:rPr>
                <w:rFonts w:cs="Arial"/>
              </w:rPr>
              <w:t>rs’ trading</w:t>
            </w:r>
            <w:r w:rsidR="002E188E" w:rsidRPr="0047044B">
              <w:rPr>
                <w:rFonts w:cs="Arial"/>
              </w:rPr>
              <w:t xml:space="preserve"> margins on products</w:t>
            </w:r>
          </w:p>
        </w:tc>
        <w:tc>
          <w:tcPr>
            <w:tcW w:w="5211" w:type="dxa"/>
            <w:vMerge w:val="restart"/>
          </w:tcPr>
          <w:p w:rsidR="002E188E" w:rsidRPr="0047044B" w:rsidRDefault="002E188E" w:rsidP="00A00E91">
            <w:pPr>
              <w:spacing w:before="120"/>
              <w:rPr>
                <w:rFonts w:cs="Arial"/>
              </w:rPr>
            </w:pPr>
            <w:r w:rsidRPr="0047044B">
              <w:rPr>
                <w:rFonts w:cs="Arial"/>
              </w:rPr>
              <w:t>Components of the difference between basic prices and purchasers’ prices (i.e. the price paid by the final consumer)</w:t>
            </w:r>
          </w:p>
        </w:tc>
      </w:tr>
      <w:tr w:rsidR="002E188E" w:rsidRPr="0047044B" w:rsidTr="003A26E1">
        <w:tc>
          <w:tcPr>
            <w:tcW w:w="3429" w:type="dxa"/>
          </w:tcPr>
          <w:p w:rsidR="002E188E" w:rsidRPr="0047044B" w:rsidRDefault="002E188E" w:rsidP="002D4737">
            <w:pPr>
              <w:numPr>
                <w:ilvl w:val="0"/>
                <w:numId w:val="1"/>
              </w:numPr>
              <w:rPr>
                <w:rFonts w:cs="Arial"/>
              </w:rPr>
            </w:pPr>
            <w:r w:rsidRPr="0047044B">
              <w:rPr>
                <w:rFonts w:cs="Arial"/>
              </w:rPr>
              <w:t>Taxes on products</w:t>
            </w:r>
          </w:p>
        </w:tc>
        <w:tc>
          <w:tcPr>
            <w:tcW w:w="5211" w:type="dxa"/>
            <w:vMerge/>
            <w:vAlign w:val="center"/>
          </w:tcPr>
          <w:p w:rsidR="002E188E" w:rsidRPr="0047044B" w:rsidRDefault="002E188E" w:rsidP="00304A61">
            <w:pPr>
              <w:rPr>
                <w:rFonts w:cs="Arial"/>
              </w:rPr>
            </w:pPr>
          </w:p>
        </w:tc>
      </w:tr>
      <w:tr w:rsidR="002E188E" w:rsidRPr="0047044B" w:rsidTr="003A26E1">
        <w:tc>
          <w:tcPr>
            <w:tcW w:w="3429" w:type="dxa"/>
          </w:tcPr>
          <w:p w:rsidR="002E188E" w:rsidRPr="0047044B" w:rsidRDefault="002E188E" w:rsidP="002D4737">
            <w:pPr>
              <w:numPr>
                <w:ilvl w:val="0"/>
                <w:numId w:val="1"/>
              </w:numPr>
              <w:rPr>
                <w:rFonts w:cs="Arial"/>
              </w:rPr>
            </w:pPr>
            <w:r w:rsidRPr="0047044B">
              <w:rPr>
                <w:rFonts w:cs="Arial"/>
              </w:rPr>
              <w:t>Subsidies on products</w:t>
            </w:r>
          </w:p>
        </w:tc>
        <w:tc>
          <w:tcPr>
            <w:tcW w:w="5211" w:type="dxa"/>
            <w:vMerge/>
          </w:tcPr>
          <w:p w:rsidR="002E188E" w:rsidRPr="0047044B" w:rsidRDefault="002E188E" w:rsidP="002D4737">
            <w:pPr>
              <w:rPr>
                <w:rFonts w:cs="Arial"/>
              </w:rPr>
            </w:pPr>
          </w:p>
        </w:tc>
      </w:tr>
    </w:tbl>
    <w:p w:rsidR="00CD7D96" w:rsidRDefault="00CD7D96" w:rsidP="00CD7D96">
      <w:pPr>
        <w:pStyle w:val="BodyText"/>
      </w:pPr>
    </w:p>
    <w:p w:rsidR="00C84785" w:rsidRPr="0047044B" w:rsidRDefault="002D4737" w:rsidP="00CD7D96">
      <w:pPr>
        <w:pStyle w:val="BodyText"/>
      </w:pPr>
      <w:r w:rsidRPr="0047044B">
        <w:t xml:space="preserve">Compiling data on these items allows us to complete the </w:t>
      </w:r>
      <w:r w:rsidR="00780AB4" w:rsidRPr="0047044B">
        <w:t>Supply T</w:t>
      </w:r>
      <w:r w:rsidRPr="0047044B">
        <w:t xml:space="preserve">able but also allow us to construct a domestic </w:t>
      </w:r>
      <w:r w:rsidR="00780AB4" w:rsidRPr="0047044B">
        <w:t>U</w:t>
      </w:r>
      <w:r w:rsidRPr="0047044B">
        <w:t xml:space="preserve">se </w:t>
      </w:r>
      <w:r w:rsidR="00780AB4" w:rsidRPr="0047044B">
        <w:t>T</w:t>
      </w:r>
      <w:r w:rsidRPr="0047044B">
        <w:t xml:space="preserve">able at basic prices to be </w:t>
      </w:r>
      <w:r w:rsidR="000A46BB">
        <w:t>used in the compilation of the S</w:t>
      </w:r>
      <w:r w:rsidRPr="0047044B">
        <w:t>ymmetric</w:t>
      </w:r>
      <w:r w:rsidR="000A46BB">
        <w:t xml:space="preserve"> I-O T</w:t>
      </w:r>
      <w:r w:rsidRPr="0047044B">
        <w:t>ables.</w:t>
      </w:r>
    </w:p>
    <w:p w:rsidR="000A46BB" w:rsidRPr="0047044B" w:rsidRDefault="000A46BB" w:rsidP="000A46BB">
      <w:pPr>
        <w:pStyle w:val="Heading3"/>
      </w:pPr>
      <w:bookmarkStart w:id="151" w:name="_Toc290646652"/>
      <w:bookmarkStart w:id="152" w:name="_Toc290647182"/>
      <w:bookmarkStart w:id="153" w:name="_Toc290647229"/>
      <w:bookmarkStart w:id="154" w:name="_Toc292468958"/>
      <w:bookmarkStart w:id="155" w:name="_Toc290646648"/>
      <w:bookmarkStart w:id="156" w:name="_Toc290647178"/>
      <w:bookmarkStart w:id="157" w:name="_Toc290647225"/>
      <w:bookmarkStart w:id="158" w:name="_Toc497137013"/>
      <w:r>
        <w:t>Distribut</w:t>
      </w:r>
      <w:r w:rsidRPr="0047044B">
        <w:t>o</w:t>
      </w:r>
      <w:r>
        <w:t>rs’ trading</w:t>
      </w:r>
      <w:r w:rsidRPr="0047044B">
        <w:t xml:space="preserve"> margins</w:t>
      </w:r>
      <w:bookmarkEnd w:id="151"/>
      <w:bookmarkEnd w:id="152"/>
      <w:bookmarkEnd w:id="153"/>
      <w:bookmarkEnd w:id="154"/>
      <w:bookmarkEnd w:id="158"/>
    </w:p>
    <w:p w:rsidR="000A46BB" w:rsidRPr="0047044B" w:rsidRDefault="000A46BB" w:rsidP="000A46BB">
      <w:pPr>
        <w:pStyle w:val="BodyText"/>
      </w:pPr>
      <w:r>
        <w:t>Distribut</w:t>
      </w:r>
      <w:r w:rsidRPr="0047044B">
        <w:t>o</w:t>
      </w:r>
      <w:r>
        <w:t>rs’ trading</w:t>
      </w:r>
      <w:r w:rsidRPr="0047044B">
        <w:t xml:space="preserve"> margins form part of the purchasers’ price of a product but are not part of the basic price.  In the Supply Table at basic prices, distributors’ trading margins are recorded against the appropriate distribution product (retail</w:t>
      </w:r>
      <w:r w:rsidR="00B70A0A">
        <w:t xml:space="preserve"> excl. motor vehicles</w:t>
      </w:r>
      <w:r w:rsidRPr="0047044B">
        <w:t>, wholesale</w:t>
      </w:r>
      <w:r w:rsidR="00B70A0A">
        <w:t xml:space="preserve"> excl. motor vehicles</w:t>
      </w:r>
      <w:r w:rsidRPr="0047044B">
        <w:t xml:space="preserve">, or </w:t>
      </w:r>
      <w:r w:rsidR="00B70A0A">
        <w:t>wholesale and retail of vehicles</w:t>
      </w:r>
      <w:r w:rsidRPr="0047044B">
        <w:t xml:space="preserve">).  In the purchasers’ price Use </w:t>
      </w:r>
      <w:r>
        <w:t>Table</w:t>
      </w:r>
      <w:r w:rsidRPr="0047044B">
        <w:t>, the distribution margins are recorded as part of the price of the product on which they are earned.  Therefore, in the Supply Table when we are adding in the components to take domestic output of products at basic prices to total supply at purchasers’ prices, the margins component must remove output from the distribution commodities and allocate it to products (note that only physi</w:t>
      </w:r>
      <w:r>
        <w:t>cal goods can attract distribut</w:t>
      </w:r>
      <w:r w:rsidRPr="0047044B">
        <w:t>o</w:t>
      </w:r>
      <w:r>
        <w:t>rs’ trading</w:t>
      </w:r>
      <w:r w:rsidRPr="0047044B">
        <w:t xml:space="preserve"> margins).  This reallocation should also include margins on imported goods.  Since this is a reallocation, the positive entries in the margins column against products will be balanced by negative entries against the distribution products, and the sum of all entries in the margins column will be zero.</w:t>
      </w:r>
    </w:p>
    <w:p w:rsidR="000A46BB" w:rsidRDefault="00970419" w:rsidP="003A26E1">
      <w:pPr>
        <w:pStyle w:val="BodyText"/>
      </w:pPr>
      <w:r>
        <w:t>Three types of margin are estimated in the process of compiling the tables.  They are:</w:t>
      </w:r>
    </w:p>
    <w:p w:rsidR="00970419" w:rsidRDefault="00970419" w:rsidP="003A26E1">
      <w:pPr>
        <w:pStyle w:val="BodyTextBulletted"/>
        <w:numPr>
          <w:ilvl w:val="0"/>
          <w:numId w:val="4"/>
        </w:numPr>
      </w:pPr>
      <w:r>
        <w:t>Wholesale and retail margins on vehicles</w:t>
      </w:r>
    </w:p>
    <w:p w:rsidR="00970419" w:rsidRDefault="00970419" w:rsidP="003A26E1">
      <w:pPr>
        <w:pStyle w:val="BodyTextBulletted"/>
        <w:numPr>
          <w:ilvl w:val="0"/>
          <w:numId w:val="4"/>
        </w:numPr>
      </w:pPr>
      <w:r>
        <w:t>Wholesale excluding vehicles</w:t>
      </w:r>
    </w:p>
    <w:p w:rsidR="00970419" w:rsidRDefault="00970419" w:rsidP="003A26E1">
      <w:pPr>
        <w:pStyle w:val="BodyTextBulletted"/>
        <w:numPr>
          <w:ilvl w:val="0"/>
          <w:numId w:val="4"/>
        </w:numPr>
      </w:pPr>
      <w:r>
        <w:t>Retail excluding vehicles</w:t>
      </w:r>
    </w:p>
    <w:p w:rsidR="003A26E1" w:rsidRPr="0047044B" w:rsidRDefault="003A26E1" w:rsidP="003A26E1">
      <w:pPr>
        <w:pStyle w:val="BodyTextBulletted"/>
        <w:numPr>
          <w:ilvl w:val="0"/>
          <w:numId w:val="0"/>
        </w:numPr>
        <w:ind w:left="927" w:hanging="360"/>
      </w:pPr>
    </w:p>
    <w:p w:rsidR="000A46BB" w:rsidRPr="0047044B" w:rsidRDefault="000A46BB" w:rsidP="000A46BB">
      <w:pPr>
        <w:pStyle w:val="BodyText"/>
      </w:pPr>
      <w:r w:rsidRPr="0047044B">
        <w:t xml:space="preserve">UK product by industry margin factors (effectively average margin proportions) are applied to the Scottish Use </w:t>
      </w:r>
      <w:r>
        <w:t>Table</w:t>
      </w:r>
      <w:r w:rsidRPr="0047044B">
        <w:t xml:space="preserve"> (after VAT and other product taxes have been excluded from the prices).  These estimates are then scaled so that they match estimates of the total output of each margin for Scotland.  The constraining estimates are derived by applying the ratio of total margin to total output of the corresponding distribution product from the UK tables to the total Scottish output of the appropriate distribution product.</w:t>
      </w:r>
    </w:p>
    <w:p w:rsidR="00267FBD" w:rsidRPr="00267FBD" w:rsidRDefault="000A46BB">
      <w:pPr>
        <w:pStyle w:val="BodyText"/>
      </w:pPr>
      <w:r w:rsidRPr="0047044B">
        <w:t>The total of each margin by industry is then entered with negative sign against the corresponding margin product to ensure that the column totals sum to zero.  The entire matrix of margin estimates is then summed across rows to give a margins column for the supply table.</w:t>
      </w:r>
      <w:r w:rsidR="00FE1EF3" w:rsidRPr="0047044B" w:rsidDel="00FE1EF3">
        <w:t xml:space="preserve"> </w:t>
      </w:r>
    </w:p>
    <w:p w:rsidR="00A03126" w:rsidRDefault="00A03126">
      <w:pPr>
        <w:rPr>
          <w:rFonts w:cs="Arial"/>
          <w:b/>
          <w:bCs/>
          <w:color w:val="666699"/>
          <w:sz w:val="24"/>
          <w:szCs w:val="26"/>
        </w:rPr>
      </w:pPr>
      <w:bookmarkStart w:id="159" w:name="_Toc292468959"/>
      <w:r>
        <w:br w:type="page"/>
      </w:r>
    </w:p>
    <w:p w:rsidR="00744B73" w:rsidRPr="0047044B" w:rsidRDefault="00744B73">
      <w:pPr>
        <w:pStyle w:val="Heading3"/>
      </w:pPr>
      <w:bookmarkStart w:id="160" w:name="_Toc497137014"/>
      <w:r w:rsidRPr="0047044B">
        <w:lastRenderedPageBreak/>
        <w:t>Taxes</w:t>
      </w:r>
      <w:r w:rsidR="001944A8" w:rsidRPr="0047044B">
        <w:t xml:space="preserve"> on products</w:t>
      </w:r>
      <w:bookmarkEnd w:id="155"/>
      <w:bookmarkEnd w:id="156"/>
      <w:bookmarkEnd w:id="157"/>
      <w:bookmarkEnd w:id="159"/>
      <w:bookmarkEnd w:id="160"/>
    </w:p>
    <w:p w:rsidR="00744B73" w:rsidRPr="0047044B" w:rsidRDefault="001944A8" w:rsidP="00CD7D96">
      <w:pPr>
        <w:pStyle w:val="BodyText"/>
      </w:pPr>
      <w:r w:rsidRPr="0047044B">
        <w:t xml:space="preserve">Taxes on products are taxes which are </w:t>
      </w:r>
      <w:r w:rsidR="00CB431A" w:rsidRPr="0047044B">
        <w:t>levied per unit of quantity or an ad valorem basis.  They can be split into three categories:</w:t>
      </w:r>
    </w:p>
    <w:p w:rsidR="00CB431A" w:rsidRPr="0047044B" w:rsidRDefault="00CB431A" w:rsidP="00CD7D96">
      <w:pPr>
        <w:pStyle w:val="BodyTextBulletted"/>
      </w:pPr>
      <w:r w:rsidRPr="0047044B">
        <w:t>Value Added Taxes (VAT)</w:t>
      </w:r>
    </w:p>
    <w:p w:rsidR="00CB431A" w:rsidRPr="0047044B" w:rsidRDefault="00CB431A" w:rsidP="00CD7D96">
      <w:pPr>
        <w:pStyle w:val="BodyTextBulletted"/>
      </w:pPr>
      <w:r w:rsidRPr="0047044B">
        <w:t>Taxes on imports</w:t>
      </w:r>
    </w:p>
    <w:p w:rsidR="00CB431A" w:rsidRDefault="00CB431A" w:rsidP="00CD7D96">
      <w:pPr>
        <w:pStyle w:val="BodyTextBulletted"/>
      </w:pPr>
      <w:r w:rsidRPr="0047044B">
        <w:t>Other taxes on products</w:t>
      </w:r>
    </w:p>
    <w:p w:rsidR="00CD7D96" w:rsidRPr="0047044B" w:rsidRDefault="00CD7D96" w:rsidP="00CD7D96">
      <w:pPr>
        <w:pStyle w:val="BodyTextBulletted"/>
        <w:numPr>
          <w:ilvl w:val="0"/>
          <w:numId w:val="0"/>
        </w:numPr>
        <w:ind w:left="927" w:hanging="360"/>
      </w:pPr>
    </w:p>
    <w:p w:rsidR="00CB431A" w:rsidRPr="0047044B" w:rsidRDefault="00CB431A" w:rsidP="00CD7D96">
      <w:pPr>
        <w:pStyle w:val="BodyText"/>
      </w:pPr>
      <w:r w:rsidRPr="0047044B">
        <w:t>Due to the way in which we compile information on these items, discussion of the estimation of taxes on imports will be postponed here and described later in the section on imports.</w:t>
      </w:r>
    </w:p>
    <w:p w:rsidR="00744B73" w:rsidRPr="0047044B" w:rsidRDefault="00744B73" w:rsidP="00304A61">
      <w:pPr>
        <w:pStyle w:val="Heading3"/>
      </w:pPr>
      <w:bookmarkStart w:id="161" w:name="_Toc290646649"/>
      <w:bookmarkStart w:id="162" w:name="_Toc290647179"/>
      <w:bookmarkStart w:id="163" w:name="_Toc290647226"/>
      <w:bookmarkStart w:id="164" w:name="_Toc292468960"/>
      <w:bookmarkStart w:id="165" w:name="_Toc497137015"/>
      <w:r w:rsidRPr="0047044B">
        <w:t>VAT</w:t>
      </w:r>
      <w:bookmarkEnd w:id="161"/>
      <w:bookmarkEnd w:id="162"/>
      <w:bookmarkEnd w:id="163"/>
      <w:bookmarkEnd w:id="164"/>
      <w:bookmarkEnd w:id="165"/>
    </w:p>
    <w:p w:rsidR="003C16EA" w:rsidRPr="0047044B" w:rsidRDefault="000A46BB" w:rsidP="00CD7D96">
      <w:pPr>
        <w:pStyle w:val="BodyText"/>
      </w:pPr>
      <w:r>
        <w:t>A VAT matrix for the UK Use T</w:t>
      </w:r>
      <w:r w:rsidR="003C16EA" w:rsidRPr="0047044B">
        <w:t xml:space="preserve">able giving the value of the VAT component of each cell in the Purchasers’ Price Use </w:t>
      </w:r>
      <w:r>
        <w:t>Table</w:t>
      </w:r>
      <w:r w:rsidR="003C16EA" w:rsidRPr="0047044B">
        <w:t xml:space="preserve"> is divided through by the corresponding Use cell values to obtain a matrix of rates.  These rates are then applied to the Scottish P</w:t>
      </w:r>
      <w:r>
        <w:t>urchasers’ Price</w:t>
      </w:r>
      <w:r w:rsidR="003C16EA" w:rsidRPr="0047044B">
        <w:t xml:space="preserve"> Use table to obtain initial Scottish estimates of VAT.</w:t>
      </w:r>
    </w:p>
    <w:p w:rsidR="00744B73" w:rsidRPr="0047044B" w:rsidRDefault="00744B73" w:rsidP="00CD7D96">
      <w:pPr>
        <w:pStyle w:val="BodyText"/>
      </w:pPr>
      <w:r w:rsidRPr="0047044B">
        <w:t xml:space="preserve">Estimates of total </w:t>
      </w:r>
      <w:r w:rsidR="000A46BB">
        <w:t xml:space="preserve">cash </w:t>
      </w:r>
      <w:r w:rsidRPr="0047044B">
        <w:t xml:space="preserve">VAT receipts attributable to Scotland are obtained from the </w:t>
      </w:r>
      <w:hyperlink r:id="rId33" w:history="1">
        <w:r w:rsidRPr="00755838">
          <w:rPr>
            <w:rStyle w:val="Hyperlink"/>
          </w:rPr>
          <w:t>Govern</w:t>
        </w:r>
        <w:r w:rsidR="00CD7D96" w:rsidRPr="00755838">
          <w:rPr>
            <w:rStyle w:val="Hyperlink"/>
          </w:rPr>
          <w:t xml:space="preserve">ment Expenditure and Revenue </w:t>
        </w:r>
        <w:r w:rsidRPr="00755838">
          <w:rPr>
            <w:rStyle w:val="Hyperlink"/>
          </w:rPr>
          <w:t>Scotland</w:t>
        </w:r>
        <w:r w:rsidR="00755838" w:rsidRPr="00755838">
          <w:rPr>
            <w:rStyle w:val="Hyperlink"/>
          </w:rPr>
          <w:t xml:space="preserve"> (GERS)</w:t>
        </w:r>
      </w:hyperlink>
      <w:r w:rsidR="00CD7D96">
        <w:rPr>
          <w:rStyle w:val="FootnoteReference"/>
          <w:rFonts w:cs="Arial"/>
        </w:rPr>
        <w:footnoteReference w:id="19"/>
      </w:r>
      <w:r w:rsidRPr="0047044B">
        <w:t>.</w:t>
      </w:r>
      <w:r w:rsidR="003C16EA" w:rsidRPr="0047044B">
        <w:t xml:space="preserve">  The initial VAT estimates are scaled so that their total matches the GERS estimate.</w:t>
      </w:r>
    </w:p>
    <w:p w:rsidR="00A92E58" w:rsidRPr="0047044B" w:rsidRDefault="00A92E58" w:rsidP="00304A61">
      <w:pPr>
        <w:pStyle w:val="Heading3"/>
      </w:pPr>
      <w:bookmarkStart w:id="166" w:name="_Toc290646650"/>
      <w:bookmarkStart w:id="167" w:name="_Toc290647180"/>
      <w:bookmarkStart w:id="168" w:name="_Toc290647227"/>
      <w:bookmarkStart w:id="169" w:name="_Toc292468961"/>
      <w:bookmarkStart w:id="170" w:name="_Toc497137016"/>
      <w:r w:rsidRPr="0047044B">
        <w:t>Other taxes on products</w:t>
      </w:r>
      <w:bookmarkEnd w:id="166"/>
      <w:bookmarkEnd w:id="167"/>
      <w:bookmarkEnd w:id="168"/>
      <w:bookmarkEnd w:id="169"/>
      <w:bookmarkEnd w:id="170"/>
    </w:p>
    <w:p w:rsidR="00A92E58" w:rsidRPr="0047044B" w:rsidRDefault="00A92E58" w:rsidP="00CD7D96">
      <w:pPr>
        <w:pStyle w:val="BodyText"/>
      </w:pPr>
      <w:r w:rsidRPr="0047044B">
        <w:t xml:space="preserve">A similar approach to that for VAT is taken for the other product taxes.  Rates are derived from the UK Use </w:t>
      </w:r>
      <w:r w:rsidR="000A46BB">
        <w:t>Table</w:t>
      </w:r>
      <w:r w:rsidRPr="0047044B">
        <w:t xml:space="preserve"> and then constrained to estimated Scottish tax totals taken from GERS (with the exception of protective duty on imports, which is estimated later in the process).  The full list of taxes on products within the production boundary is as follows:</w:t>
      </w:r>
    </w:p>
    <w:p w:rsidR="009D1C42" w:rsidRPr="0047044B" w:rsidRDefault="009D1C42" w:rsidP="00CD7D96">
      <w:pPr>
        <w:pStyle w:val="BodyTextBulletted"/>
      </w:pPr>
      <w:r w:rsidRPr="0047044B">
        <w:t xml:space="preserve">aggregates levy </w:t>
      </w:r>
    </w:p>
    <w:p w:rsidR="009D1C42" w:rsidRPr="0047044B" w:rsidRDefault="009D1C42" w:rsidP="00CD7D96">
      <w:pPr>
        <w:pStyle w:val="BodyTextBulletted"/>
      </w:pPr>
      <w:r w:rsidRPr="0047044B">
        <w:t>agriculture lev</w:t>
      </w:r>
      <w:r>
        <w:t>ies</w:t>
      </w:r>
      <w:r w:rsidRPr="0047044B">
        <w:t xml:space="preserve"> </w:t>
      </w:r>
    </w:p>
    <w:p w:rsidR="009D1C42" w:rsidRPr="0047044B" w:rsidRDefault="009D1C42" w:rsidP="00CD7D96">
      <w:pPr>
        <w:pStyle w:val="BodyTextBulletted"/>
      </w:pPr>
      <w:r w:rsidRPr="0047044B">
        <w:t xml:space="preserve">air passenger duty </w:t>
      </w:r>
    </w:p>
    <w:p w:rsidR="009D1C42" w:rsidRPr="0047044B" w:rsidRDefault="009D1C42" w:rsidP="00CD7D96">
      <w:pPr>
        <w:pStyle w:val="BodyTextBulletted"/>
      </w:pPr>
      <w:r w:rsidRPr="0047044B">
        <w:t>alcohol dut</w:t>
      </w:r>
      <w:r>
        <w:t>ies</w:t>
      </w:r>
      <w:r w:rsidRPr="0047044B">
        <w:t xml:space="preserve"> </w:t>
      </w:r>
    </w:p>
    <w:p w:rsidR="009D1C42" w:rsidRDefault="009D1C42" w:rsidP="00CD7D96">
      <w:pPr>
        <w:pStyle w:val="BodyTextBulletted"/>
      </w:pPr>
      <w:r w:rsidRPr="0047044B">
        <w:t>betting</w:t>
      </w:r>
      <w:r>
        <w:t xml:space="preserve">, gaming </w:t>
      </w:r>
      <w:r w:rsidR="00AE7E0A">
        <w:t>and lottery duties</w:t>
      </w:r>
    </w:p>
    <w:p w:rsidR="009D1C42" w:rsidRDefault="009D1C42" w:rsidP="00CD7D96">
      <w:pPr>
        <w:pStyle w:val="BodyTextBulletted"/>
      </w:pPr>
      <w:r>
        <w:t>Channel 4 funding</w:t>
      </w:r>
    </w:p>
    <w:p w:rsidR="009D1C42" w:rsidRPr="0047044B" w:rsidRDefault="009D1C42" w:rsidP="00CD7D96">
      <w:pPr>
        <w:pStyle w:val="BodyTextBulletted"/>
      </w:pPr>
      <w:r w:rsidRPr="0047044B">
        <w:t xml:space="preserve">climate change levy </w:t>
      </w:r>
    </w:p>
    <w:p w:rsidR="009D1C42" w:rsidRPr="0047044B" w:rsidRDefault="009D1C42" w:rsidP="00CD7D96">
      <w:pPr>
        <w:pStyle w:val="BodyTextBulletted"/>
      </w:pPr>
      <w:r w:rsidRPr="0047044B">
        <w:t xml:space="preserve">fossil fuel </w:t>
      </w:r>
      <w:r>
        <w:t>levy</w:t>
      </w:r>
    </w:p>
    <w:p w:rsidR="009D1C42" w:rsidRDefault="009D1C42" w:rsidP="00CD7D96">
      <w:pPr>
        <w:pStyle w:val="BodyTextBulletted"/>
      </w:pPr>
      <w:r>
        <w:t>gas levy</w:t>
      </w:r>
    </w:p>
    <w:p w:rsidR="009D1C42" w:rsidRPr="0047044B" w:rsidRDefault="009D1C42" w:rsidP="00CD7D96">
      <w:pPr>
        <w:pStyle w:val="BodyTextBulletted"/>
      </w:pPr>
      <w:r>
        <w:t>hydro benefit tax</w:t>
      </w:r>
    </w:p>
    <w:p w:rsidR="009D1C42" w:rsidRPr="0047044B" w:rsidRDefault="009D1C42" w:rsidP="00CD7D96">
      <w:pPr>
        <w:pStyle w:val="BodyTextBulletted"/>
      </w:pPr>
      <w:r w:rsidRPr="0047044B">
        <w:t xml:space="preserve">hydrocarbon oils </w:t>
      </w:r>
      <w:r>
        <w:t>duty</w:t>
      </w:r>
    </w:p>
    <w:p w:rsidR="009D1C42" w:rsidRPr="0047044B" w:rsidRDefault="009D1C42" w:rsidP="00CD7D96">
      <w:pPr>
        <w:pStyle w:val="BodyTextBulletted"/>
      </w:pPr>
      <w:r w:rsidRPr="0047044B">
        <w:t xml:space="preserve">insurance premium tax </w:t>
      </w:r>
    </w:p>
    <w:p w:rsidR="009D1C42" w:rsidRPr="0047044B" w:rsidRDefault="009D1C42" w:rsidP="00CD7D96">
      <w:pPr>
        <w:pStyle w:val="BodyTextBulletted"/>
      </w:pPr>
      <w:r w:rsidRPr="0047044B">
        <w:t xml:space="preserve">landfill tax </w:t>
      </w:r>
    </w:p>
    <w:p w:rsidR="009D1C42" w:rsidRPr="0047044B" w:rsidRDefault="009D1C42" w:rsidP="00CD7D96">
      <w:pPr>
        <w:pStyle w:val="BodyTextBulletted"/>
      </w:pPr>
      <w:r>
        <w:t>lottery</w:t>
      </w:r>
      <w:r w:rsidRPr="0047044B">
        <w:t xml:space="preserve"> </w:t>
      </w:r>
      <w:r>
        <w:t>fund</w:t>
      </w:r>
    </w:p>
    <w:p w:rsidR="009D1C42" w:rsidRPr="0047044B" w:rsidRDefault="009D1C42" w:rsidP="00CD7D96">
      <w:pPr>
        <w:pStyle w:val="BodyTextBulletted"/>
      </w:pPr>
      <w:r w:rsidRPr="0047044B">
        <w:t>protective duty on imports</w:t>
      </w:r>
      <w:r w:rsidRPr="0047044B">
        <w:rPr>
          <w:rStyle w:val="FootnoteReference"/>
          <w:rFonts w:cs="Arial"/>
        </w:rPr>
        <w:footnoteReference w:id="20"/>
      </w:r>
    </w:p>
    <w:p w:rsidR="009D1C42" w:rsidRPr="0047044B" w:rsidRDefault="009D1C42" w:rsidP="00CD7D96">
      <w:pPr>
        <w:pStyle w:val="BodyTextBulletted"/>
      </w:pPr>
      <w:r w:rsidRPr="0047044B">
        <w:t xml:space="preserve">renewable obligation certificates </w:t>
      </w:r>
    </w:p>
    <w:p w:rsidR="009D1C42" w:rsidRPr="0047044B" w:rsidRDefault="009D1C42" w:rsidP="00CD7D96">
      <w:pPr>
        <w:pStyle w:val="BodyTextBulletted"/>
      </w:pPr>
      <w:r w:rsidRPr="0047044B">
        <w:t>stamp dut</w:t>
      </w:r>
      <w:r>
        <w:t>ies</w:t>
      </w:r>
      <w:r w:rsidRPr="0047044B">
        <w:t xml:space="preserve"> </w:t>
      </w:r>
    </w:p>
    <w:p w:rsidR="009D1C42" w:rsidRDefault="009D1C42" w:rsidP="00CD7D96">
      <w:pPr>
        <w:pStyle w:val="BodyTextBulletted"/>
      </w:pPr>
      <w:r w:rsidRPr="0047044B">
        <w:t xml:space="preserve">Strategic Rail Authority </w:t>
      </w:r>
      <w:r>
        <w:t xml:space="preserve">rail franchise </w:t>
      </w:r>
      <w:proofErr w:type="spellStart"/>
      <w:r>
        <w:t>p</w:t>
      </w:r>
      <w:r w:rsidRPr="0047044B">
        <w:t>remia</w:t>
      </w:r>
      <w:proofErr w:type="spellEnd"/>
      <w:r w:rsidRPr="0047044B">
        <w:t xml:space="preserve"> </w:t>
      </w:r>
    </w:p>
    <w:p w:rsidR="009D1C42" w:rsidRPr="0047044B" w:rsidRDefault="009D1C42" w:rsidP="00CD7D96">
      <w:pPr>
        <w:pStyle w:val="BodyTextBulletted"/>
      </w:pPr>
      <w:r w:rsidRPr="0047044B">
        <w:t xml:space="preserve">sugar levy </w:t>
      </w:r>
    </w:p>
    <w:p w:rsidR="009D1C42" w:rsidRPr="0047044B" w:rsidRDefault="009D1C42" w:rsidP="00CD7D96">
      <w:pPr>
        <w:pStyle w:val="BodyTextBulletted"/>
      </w:pPr>
      <w:r w:rsidRPr="0047044B">
        <w:t xml:space="preserve">tobacco duty </w:t>
      </w:r>
    </w:p>
    <w:p w:rsidR="00C461CA" w:rsidRPr="0047044B" w:rsidRDefault="007066AA" w:rsidP="00304A61">
      <w:pPr>
        <w:pStyle w:val="Heading3"/>
      </w:pPr>
      <w:bookmarkStart w:id="171" w:name="_Toc290646651"/>
      <w:bookmarkStart w:id="172" w:name="_Toc290647181"/>
      <w:bookmarkStart w:id="173" w:name="_Toc290647228"/>
      <w:r>
        <w:br w:type="page"/>
      </w:r>
      <w:bookmarkStart w:id="174" w:name="_Toc292468962"/>
      <w:bookmarkStart w:id="175" w:name="_Toc497137017"/>
      <w:r w:rsidR="00C461CA" w:rsidRPr="0047044B">
        <w:lastRenderedPageBreak/>
        <w:t>Subsidies on products</w:t>
      </w:r>
      <w:bookmarkEnd w:id="171"/>
      <w:bookmarkEnd w:id="172"/>
      <w:bookmarkEnd w:id="173"/>
      <w:bookmarkEnd w:id="174"/>
      <w:bookmarkEnd w:id="175"/>
    </w:p>
    <w:p w:rsidR="00C461CA" w:rsidRPr="0047044B" w:rsidRDefault="00C461CA" w:rsidP="00CD7D96">
      <w:pPr>
        <w:pStyle w:val="BodyText"/>
      </w:pPr>
      <w:r w:rsidRPr="0047044B">
        <w:t xml:space="preserve">Ratios of subsidy to total </w:t>
      </w:r>
      <w:r w:rsidR="00780AB4" w:rsidRPr="0047044B">
        <w:t>U</w:t>
      </w:r>
      <w:r w:rsidRPr="0047044B">
        <w:t xml:space="preserve">se cell value are derived from the UK tables and applied to the estimated Scottish Use </w:t>
      </w:r>
      <w:r w:rsidR="00780AB4" w:rsidRPr="0047044B">
        <w:t>T</w:t>
      </w:r>
      <w:r w:rsidRPr="0047044B">
        <w:t>able.</w:t>
      </w:r>
      <w:r w:rsidR="00CB431A" w:rsidRPr="0047044B">
        <w:t xml:space="preserve">  In order to move from basic prices to purchasers’ prices, subsidies on products are </w:t>
      </w:r>
      <w:r w:rsidR="00CB431A" w:rsidRPr="0047044B">
        <w:rPr>
          <w:i/>
        </w:rPr>
        <w:t>subtracted</w:t>
      </w:r>
      <w:r w:rsidR="00CB431A" w:rsidRPr="0047044B">
        <w:t xml:space="preserve"> from the basic price, while taxes on products are </w:t>
      </w:r>
      <w:r w:rsidR="00CB431A" w:rsidRPr="0047044B">
        <w:rPr>
          <w:i/>
        </w:rPr>
        <w:t>added</w:t>
      </w:r>
      <w:r w:rsidR="00CB431A" w:rsidRPr="0047044B">
        <w:t xml:space="preserve"> (and vice versa when moving from purchasers’ to basic prices).</w:t>
      </w:r>
    </w:p>
    <w:p w:rsidR="00C81482" w:rsidRPr="0047044B" w:rsidRDefault="00CB431A" w:rsidP="00304A61">
      <w:pPr>
        <w:pStyle w:val="Heading3"/>
      </w:pPr>
      <w:bookmarkStart w:id="176" w:name="_Toc290646653"/>
      <w:bookmarkStart w:id="177" w:name="_Toc290647183"/>
      <w:bookmarkStart w:id="178" w:name="_Toc290647230"/>
      <w:bookmarkStart w:id="179" w:name="_Toc292468963"/>
      <w:bookmarkStart w:id="180" w:name="_Toc497137018"/>
      <w:r w:rsidRPr="0047044B">
        <w:t>Imports and taxes on imports</w:t>
      </w:r>
      <w:bookmarkEnd w:id="176"/>
      <w:bookmarkEnd w:id="177"/>
      <w:bookmarkEnd w:id="178"/>
      <w:bookmarkEnd w:id="179"/>
      <w:bookmarkEnd w:id="180"/>
    </w:p>
    <w:p w:rsidR="004656B4" w:rsidRPr="0047044B" w:rsidRDefault="002574DA" w:rsidP="006C0F99">
      <w:pPr>
        <w:pStyle w:val="BodyText"/>
      </w:pPr>
      <w:r w:rsidRPr="0047044B">
        <w:t>Imports is one the most difficult parts of the table to get Scottish data for, particularly imports from the rest of the UK, and as a result these columns are the ones which absorb most of the imbalances du</w:t>
      </w:r>
      <w:r w:rsidR="00146296">
        <w:t>ring the manual balance stage.</w:t>
      </w:r>
    </w:p>
    <w:p w:rsidR="00146296" w:rsidRDefault="00146296" w:rsidP="006C0F99">
      <w:pPr>
        <w:pStyle w:val="BodyText"/>
      </w:pPr>
      <w:r w:rsidRPr="00146296">
        <w:t xml:space="preserve">Data from </w:t>
      </w:r>
      <w:proofErr w:type="spellStart"/>
      <w:r w:rsidRPr="00146296">
        <w:t>HMRC</w:t>
      </w:r>
      <w:proofErr w:type="spellEnd"/>
      <w:r w:rsidRPr="00146296">
        <w:t xml:space="preserve"> Regional Trade Statistics (</w:t>
      </w:r>
      <w:proofErr w:type="spellStart"/>
      <w:r w:rsidRPr="00146296">
        <w:t>RTS</w:t>
      </w:r>
      <w:proofErr w:type="spellEnd"/>
      <w:r w:rsidRPr="00146296">
        <w:t>), the International Trade in Services survey (ITIS), the International Passenger Survey (</w:t>
      </w:r>
      <w:proofErr w:type="spellStart"/>
      <w:r w:rsidRPr="00146296">
        <w:t>IPS</w:t>
      </w:r>
      <w:proofErr w:type="spellEnd"/>
      <w:r w:rsidRPr="00146296">
        <w:t>)</w:t>
      </w:r>
      <w:r>
        <w:t xml:space="preserve"> and the Great Britain Tourist S</w:t>
      </w:r>
      <w:r w:rsidRPr="00146296">
        <w:t>urvey are used to provide pre-balance estimates of imports from the Rest of the World (RoW). The import categories are manually matched to product rows to provide initial estimates, which are then compared to latest Blue Book data for the UK to provide an adjustment from raw to Balance of Payments compliant data.  Rest of UK (RUK) import estimates as a proportion of total supply from the previous balanced year are used to provide initial estimates of totals for RUK imports, and these are then apportioned to the product level using data from the Global Connections Survey (for RUK) and the UK tables (for RoW  )  .</w:t>
      </w:r>
    </w:p>
    <w:p w:rsidR="00B421F1" w:rsidRPr="0047044B" w:rsidRDefault="00B421F1" w:rsidP="006C0F99">
      <w:pPr>
        <w:pStyle w:val="BodyText"/>
      </w:pPr>
      <w:r w:rsidRPr="0047044B">
        <w:t xml:space="preserve">Some imported </w:t>
      </w:r>
      <w:r w:rsidR="00B3721D">
        <w:t>products</w:t>
      </w:r>
      <w:r w:rsidR="00B3721D" w:rsidRPr="0047044B">
        <w:t xml:space="preserve"> </w:t>
      </w:r>
      <w:r w:rsidRPr="0047044B">
        <w:t xml:space="preserve">from the Rest of the World attract import duties.  </w:t>
      </w:r>
      <w:r w:rsidR="000A7A73" w:rsidRPr="0047044B">
        <w:t xml:space="preserve">UK values for Rest of World imports and protective duty are used to calculate average rates of protective duty by </w:t>
      </w:r>
      <w:r w:rsidR="00524437" w:rsidRPr="0047044B">
        <w:t>product</w:t>
      </w:r>
      <w:r w:rsidR="000A7A73" w:rsidRPr="0047044B">
        <w:t xml:space="preserve">.  These are then applied to the estimated RoW imports for Scotland to obtain estimates of protective duty by </w:t>
      </w:r>
      <w:r w:rsidR="00524437" w:rsidRPr="0047044B">
        <w:t>product</w:t>
      </w:r>
      <w:r w:rsidR="000A7A73" w:rsidRPr="0047044B">
        <w:t>.</w:t>
      </w:r>
    </w:p>
    <w:p w:rsidR="00FC0E64" w:rsidRPr="0047044B" w:rsidRDefault="00DD5F1F" w:rsidP="00304A61">
      <w:pPr>
        <w:pStyle w:val="Heading2"/>
      </w:pPr>
      <w:r w:rsidRPr="0047044B">
        <w:br w:type="page"/>
      </w:r>
      <w:bookmarkStart w:id="181" w:name="_Toc290646654"/>
      <w:bookmarkStart w:id="182" w:name="_Toc290647184"/>
      <w:bookmarkStart w:id="183" w:name="_Toc290647231"/>
      <w:bookmarkStart w:id="184" w:name="_Toc292468964"/>
      <w:bookmarkStart w:id="185" w:name="_Toc497137019"/>
      <w:r w:rsidR="00FC0E64" w:rsidRPr="0047044B">
        <w:lastRenderedPageBreak/>
        <w:t>Balancing the tables</w:t>
      </w:r>
      <w:bookmarkEnd w:id="181"/>
      <w:bookmarkEnd w:id="182"/>
      <w:bookmarkEnd w:id="183"/>
      <w:bookmarkEnd w:id="184"/>
      <w:bookmarkEnd w:id="185"/>
    </w:p>
    <w:p w:rsidR="00C461CA" w:rsidRPr="0047044B" w:rsidRDefault="00FC0E64" w:rsidP="006C0F99">
      <w:pPr>
        <w:pStyle w:val="BodyText"/>
      </w:pPr>
      <w:r w:rsidRPr="0047044B">
        <w:t xml:space="preserve">With initial estimates of the valuation matrices completed, we can construct our first estimate of the full </w:t>
      </w:r>
      <w:r w:rsidR="00524437" w:rsidRPr="0047044B">
        <w:t>S</w:t>
      </w:r>
      <w:r w:rsidRPr="0047044B">
        <w:t xml:space="preserve">upply </w:t>
      </w:r>
      <w:r w:rsidR="00524437" w:rsidRPr="0047044B">
        <w:t>T</w:t>
      </w:r>
      <w:r w:rsidRPr="0047044B">
        <w:t>able</w:t>
      </w:r>
      <w:r w:rsidR="00524437" w:rsidRPr="0047044B">
        <w:t xml:space="preserve"> at purchasers’ prices</w:t>
      </w:r>
      <w:r w:rsidRPr="0047044B">
        <w:t xml:space="preserve">.  </w:t>
      </w:r>
      <w:r w:rsidR="00770EED" w:rsidRPr="0047044B">
        <w:t xml:space="preserve">At this point industry output at basic prices in both the initial Supply and Use tables are equal. </w:t>
      </w:r>
      <w:r w:rsidRPr="0047044B">
        <w:t xml:space="preserve">The valuation matrices are presented as columns to the right of the </w:t>
      </w:r>
      <w:r w:rsidR="00524437" w:rsidRPr="0047044B">
        <w:t>Supply Table at basic prices</w:t>
      </w:r>
      <w:r w:rsidRPr="0047044B">
        <w:t xml:space="preserve"> and show the breakdown of the differences between domestic supply at basic prices and total supply at purchasers’ prices by </w:t>
      </w:r>
      <w:r w:rsidR="00524437" w:rsidRPr="0047044B">
        <w:t>product</w:t>
      </w:r>
      <w:r w:rsidRPr="0047044B">
        <w:t xml:space="preserve">.  The row totals of the </w:t>
      </w:r>
      <w:r w:rsidR="00524437" w:rsidRPr="0047044B">
        <w:t>S</w:t>
      </w:r>
      <w:r w:rsidRPr="0047044B">
        <w:t xml:space="preserve">upply </w:t>
      </w:r>
      <w:r w:rsidR="00524437" w:rsidRPr="0047044B">
        <w:t>T</w:t>
      </w:r>
      <w:r w:rsidRPr="0047044B">
        <w:t xml:space="preserve">able are therefore at purchasers’ prices, as are the row totals of the Use </w:t>
      </w:r>
      <w:r w:rsidR="00524437" w:rsidRPr="0047044B">
        <w:t>T</w:t>
      </w:r>
      <w:r w:rsidRPr="0047044B">
        <w:t xml:space="preserve">able.  The </w:t>
      </w:r>
      <w:r w:rsidR="00524437" w:rsidRPr="0047044B">
        <w:t xml:space="preserve">product </w:t>
      </w:r>
      <w:r w:rsidRPr="0047044B">
        <w:t>level balance requires that thes</w:t>
      </w:r>
      <w:r w:rsidR="00742C00" w:rsidRPr="0047044B">
        <w:t>e row totals are equal, but</w:t>
      </w:r>
      <w:r w:rsidRPr="0047044B">
        <w:t xml:space="preserve"> since we have used a range of different data sources for each, initially this is not the case.</w:t>
      </w:r>
    </w:p>
    <w:p w:rsidR="00742C00" w:rsidRPr="0047044B" w:rsidRDefault="00524437" w:rsidP="006C0F99">
      <w:pPr>
        <w:pStyle w:val="BodyText"/>
      </w:pPr>
      <w:r w:rsidRPr="0047044B">
        <w:t xml:space="preserve">The Scottish Use Table is manually balanced to the Supply Table at Purchasers’ prices by product (i.e. by row). </w:t>
      </w:r>
      <w:r w:rsidR="00742C00" w:rsidRPr="0047044B">
        <w:t xml:space="preserve">The purpose of the manual balancing process is to adjust the </w:t>
      </w:r>
      <w:r w:rsidRPr="0047044B">
        <w:t>Use T</w:t>
      </w:r>
      <w:r w:rsidR="00742C00" w:rsidRPr="0047044B">
        <w:t xml:space="preserve">ables to remove these </w:t>
      </w:r>
      <w:r w:rsidRPr="0047044B">
        <w:t xml:space="preserve">product </w:t>
      </w:r>
      <w:r w:rsidR="00742C00" w:rsidRPr="0047044B">
        <w:t>imbalances.  Information in the table itself, from the time series of tables, and any external information which can be brought to bear is used to help inform this process.  The matrix nature of the tables means that adjustments to one cell to bring a row into balance can introduce imbalances into other rows and columns.  Imbalances identified here can also bring to light problems arising earlier in the compilation process, and require amendments to column totals in order to maintain the industry balance.</w:t>
      </w:r>
      <w:r w:rsidRPr="0047044B">
        <w:t xml:space="preserve"> Within the manual balance system, balancing adjustments are made as</w:t>
      </w:r>
      <w:r w:rsidR="004E2EA4" w:rsidRPr="0047044B">
        <w:t xml:space="preserve"> much as possible to data items with the least robust data source.</w:t>
      </w:r>
    </w:p>
    <w:p w:rsidR="00742C00" w:rsidRPr="0047044B" w:rsidRDefault="00742C00" w:rsidP="006C0F99">
      <w:pPr>
        <w:pStyle w:val="BodyText"/>
      </w:pPr>
      <w:r w:rsidRPr="0047044B">
        <w:t>When manual adjustment has brought the tables into an “almost balanced” state</w:t>
      </w:r>
      <w:r w:rsidR="004E2EA4" w:rsidRPr="0047044B">
        <w:t xml:space="preserve"> by product</w:t>
      </w:r>
      <w:r w:rsidRPr="0047044B">
        <w:t>, the final adjustments to bring the table fully into balance can be carried out automatically through an iterative proportional fitting meth</w:t>
      </w:r>
      <w:r w:rsidR="007010F1" w:rsidRPr="0047044B">
        <w:t xml:space="preserve">od known as the </w:t>
      </w:r>
      <w:r w:rsidR="00353395">
        <w:t>RAS</w:t>
      </w:r>
      <w:r w:rsidR="007010F1" w:rsidRPr="0047044B">
        <w:t xml:space="preserve"> procedure (See </w:t>
      </w:r>
      <w:hyperlink r:id="rId34" w:history="1">
        <w:r w:rsidR="003443E2" w:rsidRPr="0047044B">
          <w:rPr>
            <w:rStyle w:val="Hyperlink"/>
            <w:rFonts w:cs="Arial"/>
          </w:rPr>
          <w:t>Eurostat Manual of Supply, Use and Input-Output Tables</w:t>
        </w:r>
      </w:hyperlink>
      <w:r w:rsidR="00146296">
        <w:rPr>
          <w:rStyle w:val="FootnoteReference"/>
          <w:rFonts w:cs="Arial"/>
          <w:color w:val="333399"/>
          <w:u w:val="single"/>
        </w:rPr>
        <w:footnoteReference w:id="21"/>
      </w:r>
      <w:r w:rsidR="00657846" w:rsidRPr="0047044B">
        <w:t xml:space="preserve"> p</w:t>
      </w:r>
      <w:r w:rsidR="00CE3BDE">
        <w:t>p</w:t>
      </w:r>
      <w:r w:rsidR="00353395">
        <w:t>.451-7</w:t>
      </w:r>
      <w:r w:rsidR="007010F1" w:rsidRPr="0047044B">
        <w:t xml:space="preserve"> for details).</w:t>
      </w:r>
    </w:p>
    <w:p w:rsidR="00097198" w:rsidRPr="0047044B" w:rsidRDefault="007010F1" w:rsidP="006C0F99">
      <w:pPr>
        <w:pStyle w:val="BodyText"/>
      </w:pPr>
      <w:r w:rsidRPr="0047044B">
        <w:t xml:space="preserve">This process leaves us with a fully balanced set of tables.  However, </w:t>
      </w:r>
      <w:r w:rsidR="003443E2" w:rsidRPr="0047044B">
        <w:t xml:space="preserve">changes made as a result of the final </w:t>
      </w:r>
      <w:r w:rsidR="00353395">
        <w:t>RAS</w:t>
      </w:r>
      <w:r w:rsidR="003443E2" w:rsidRPr="0047044B">
        <w:t xml:space="preserve"> balance can</w:t>
      </w:r>
      <w:r w:rsidR="005F0C21" w:rsidRPr="0047044B">
        <w:t xml:space="preserve"> require a re-estimation of the valuation tables. If this is not done the estimates</w:t>
      </w:r>
      <w:r w:rsidRPr="0047044B">
        <w:t xml:space="preserve"> can produce inconsistencies when construct</w:t>
      </w:r>
      <w:r w:rsidR="005F0C21" w:rsidRPr="0047044B">
        <w:t>ing</w:t>
      </w:r>
      <w:r w:rsidRPr="0047044B">
        <w:t xml:space="preserve"> the domestic use table at basic prices </w:t>
      </w:r>
      <w:r w:rsidR="005F0C21" w:rsidRPr="0047044B">
        <w:t>required</w:t>
      </w:r>
      <w:r w:rsidRPr="0047044B">
        <w:t xml:space="preserve"> to generate the symmetric tables (e.g. negative estimates of basic price values).  In order to minimise these distortions, the </w:t>
      </w:r>
      <w:r w:rsidR="005F0C21" w:rsidRPr="0047044B">
        <w:t>valuation tables are re-estimated</w:t>
      </w:r>
      <w:r w:rsidRPr="0047044B">
        <w:t xml:space="preserve"> </w:t>
      </w:r>
      <w:r w:rsidR="005F0C21" w:rsidRPr="0047044B">
        <w:t xml:space="preserve">using the </w:t>
      </w:r>
      <w:r w:rsidR="00353395">
        <w:t>RAS</w:t>
      </w:r>
      <w:r w:rsidR="005F0C21" w:rsidRPr="0047044B">
        <w:t xml:space="preserve"> balanced table and a further </w:t>
      </w:r>
      <w:r w:rsidR="00353395">
        <w:t>RAS</w:t>
      </w:r>
      <w:r w:rsidR="005F0C21" w:rsidRPr="0047044B">
        <w:t xml:space="preserve"> balance is run to arrive at a set of balanced tables which are consistent with the estimates of taxes, margins and subsidies.</w:t>
      </w:r>
      <w:r w:rsidR="00097198" w:rsidRPr="0047044B">
        <w:t>.</w:t>
      </w:r>
    </w:p>
    <w:p w:rsidR="007810BE" w:rsidRPr="0047044B" w:rsidRDefault="007810BE" w:rsidP="001E7DDA">
      <w:pPr>
        <w:rPr>
          <w:rFonts w:cs="Arial"/>
        </w:rPr>
      </w:pPr>
    </w:p>
    <w:p w:rsidR="00304A61" w:rsidRDefault="00304A61" w:rsidP="001E7DDA">
      <w:pPr>
        <w:rPr>
          <w:rFonts w:cs="Arial"/>
        </w:rPr>
        <w:sectPr w:rsidR="00304A61" w:rsidSect="00AB54FF">
          <w:pgSz w:w="11906" w:h="16838" w:code="9"/>
          <w:pgMar w:top="1440" w:right="1440" w:bottom="1440" w:left="1440" w:header="720" w:footer="720" w:gutter="0"/>
          <w:cols w:space="708"/>
          <w:docGrid w:linePitch="360"/>
        </w:sectPr>
      </w:pPr>
    </w:p>
    <w:p w:rsidR="00304A61" w:rsidRPr="00304A61" w:rsidRDefault="007066AA" w:rsidP="00304A61">
      <w:pPr>
        <w:pStyle w:val="Heading1"/>
      </w:pPr>
      <w:bookmarkStart w:id="186" w:name="_Toc290646655"/>
      <w:bookmarkStart w:id="187" w:name="_Toc290647185"/>
      <w:bookmarkStart w:id="188" w:name="_Toc290647232"/>
      <w:bookmarkStart w:id="189" w:name="_Toc292468965"/>
      <w:bookmarkStart w:id="190" w:name="_Toc497137020"/>
      <w:r>
        <w:lastRenderedPageBreak/>
        <w:t>The A</w:t>
      </w:r>
      <w:r w:rsidR="00304A61" w:rsidRPr="00304A61">
        <w:t xml:space="preserve">nalytical </w:t>
      </w:r>
      <w:r>
        <w:t>I-O T</w:t>
      </w:r>
      <w:r w:rsidR="00304A61" w:rsidRPr="00304A61">
        <w:t>ables</w:t>
      </w:r>
      <w:bookmarkEnd w:id="186"/>
      <w:bookmarkEnd w:id="187"/>
      <w:bookmarkEnd w:id="188"/>
      <w:bookmarkEnd w:id="189"/>
      <w:bookmarkEnd w:id="190"/>
    </w:p>
    <w:p w:rsidR="00304A61" w:rsidRDefault="00304A61" w:rsidP="00146296">
      <w:pPr>
        <w:pStyle w:val="Heading2"/>
      </w:pPr>
      <w:bookmarkStart w:id="191" w:name="_Toc290646657"/>
      <w:bookmarkStart w:id="192" w:name="_Toc290647187"/>
      <w:bookmarkStart w:id="193" w:name="_Toc290647234"/>
      <w:bookmarkStart w:id="194" w:name="_Toc292468967"/>
      <w:bookmarkStart w:id="195" w:name="_Toc497137021"/>
      <w:r>
        <w:t xml:space="preserve">What are </w:t>
      </w:r>
      <w:r w:rsidR="006B59A3">
        <w:t>the analytical tables</w:t>
      </w:r>
      <w:r>
        <w:t>?</w:t>
      </w:r>
      <w:bookmarkEnd w:id="191"/>
      <w:bookmarkEnd w:id="192"/>
      <w:bookmarkEnd w:id="193"/>
      <w:bookmarkEnd w:id="194"/>
      <w:bookmarkEnd w:id="195"/>
    </w:p>
    <w:p w:rsidR="00B23164" w:rsidRDefault="007066AA" w:rsidP="00CE11E2">
      <w:pPr>
        <w:pStyle w:val="BodyText"/>
      </w:pPr>
      <w:r>
        <w:t>Supply and Use T</w:t>
      </w:r>
      <w:r w:rsidR="00304A61">
        <w:t xml:space="preserve">ables </w:t>
      </w:r>
      <w:r w:rsidR="00304A61" w:rsidRPr="008352B7">
        <w:t>form a central part of the system of national accounts. Their main use is to act as an integration framework for balancing the national accounts</w:t>
      </w:r>
      <w:r>
        <w:t xml:space="preserve"> and determining an estimate of GDP</w:t>
      </w:r>
      <w:r w:rsidR="00304A61" w:rsidRPr="008352B7">
        <w:t xml:space="preserve">. </w:t>
      </w:r>
    </w:p>
    <w:p w:rsidR="006B59A3" w:rsidRDefault="00B23164" w:rsidP="00CE11E2">
      <w:pPr>
        <w:pStyle w:val="BodyText"/>
      </w:pPr>
      <w:r>
        <w:t xml:space="preserve">They are also the starting point for the production of the Input-Output Analytical Tables (also known as symmetric input-output tables). </w:t>
      </w:r>
      <w:r w:rsidR="006B59A3">
        <w:t>These form a</w:t>
      </w:r>
      <w:r w:rsidR="00304A61" w:rsidRPr="008352B7">
        <w:t xml:space="preserve"> </w:t>
      </w:r>
      <w:r w:rsidR="007066AA">
        <w:t>basis</w:t>
      </w:r>
      <w:r w:rsidR="00304A61" w:rsidRPr="008352B7">
        <w:t xml:space="preserve"> from which </w:t>
      </w:r>
      <w:r w:rsidR="006B59A3">
        <w:t xml:space="preserve">a wide range of </w:t>
      </w:r>
      <w:r w:rsidR="00304A61" w:rsidRPr="008352B7">
        <w:t>macroeconomic models and impact analys</w:t>
      </w:r>
      <w:r w:rsidR="006B59A3">
        <w:t>e</w:t>
      </w:r>
      <w:r w:rsidR="00304A61" w:rsidRPr="008352B7">
        <w:t xml:space="preserve">s can be </w:t>
      </w:r>
      <w:r w:rsidR="006B59A3">
        <w:t>constructed</w:t>
      </w:r>
      <w:r w:rsidR="00304A61" w:rsidRPr="008352B7">
        <w:t xml:space="preserve">. </w:t>
      </w:r>
    </w:p>
    <w:p w:rsidR="006B59A3" w:rsidRDefault="006B59A3" w:rsidP="00CE11E2">
      <w:pPr>
        <w:pStyle w:val="BodyText"/>
      </w:pPr>
      <w:r>
        <w:t>The analytical tables</w:t>
      </w:r>
      <w:r w:rsidR="00304A61" w:rsidRPr="008352B7">
        <w:t xml:space="preserve"> present </w:t>
      </w:r>
      <w:r w:rsidR="00304A61">
        <w:t xml:space="preserve">a version of </w:t>
      </w:r>
      <w:r w:rsidR="00304A61" w:rsidRPr="008352B7">
        <w:t xml:space="preserve">the Use table </w:t>
      </w:r>
      <w:r>
        <w:t>in</w:t>
      </w:r>
      <w:r w:rsidRPr="008352B7">
        <w:t xml:space="preserve"> </w:t>
      </w:r>
      <w:r w:rsidR="00304A61" w:rsidRPr="008352B7">
        <w:t xml:space="preserve">either </w:t>
      </w:r>
      <w:r>
        <w:t xml:space="preserve">an </w:t>
      </w:r>
      <w:r w:rsidR="00304A61" w:rsidRPr="008352B7">
        <w:t>industry by industry or product by product</w:t>
      </w:r>
      <w:r>
        <w:t xml:space="preserve"> form</w:t>
      </w:r>
      <w:r w:rsidR="00304A61">
        <w:t>,</w:t>
      </w:r>
      <w:r w:rsidR="00304A61" w:rsidRPr="008352B7">
        <w:t xml:space="preserve"> as opposed to the product by industry </w:t>
      </w:r>
      <w:r>
        <w:t xml:space="preserve">basis of the Supply and </w:t>
      </w:r>
      <w:r w:rsidR="00304A61" w:rsidRPr="008352B7">
        <w:t>Use table</w:t>
      </w:r>
      <w:r>
        <w:t>s</w:t>
      </w:r>
      <w:r w:rsidR="00304A61" w:rsidRPr="008352B7">
        <w:t xml:space="preserve">. </w:t>
      </w:r>
    </w:p>
    <w:p w:rsidR="00304A61" w:rsidRDefault="00304A61" w:rsidP="00CE11E2">
      <w:pPr>
        <w:pStyle w:val="BodyText"/>
      </w:pPr>
      <w:r>
        <w:t>Since the I</w:t>
      </w:r>
      <w:r w:rsidR="007066AA">
        <w:t>-</w:t>
      </w:r>
      <w:r>
        <w:t>O models are generally used to model the impacts of changes on the domestic economy, t</w:t>
      </w:r>
      <w:r w:rsidRPr="008352B7">
        <w:t>he first step in generating the symmetric</w:t>
      </w:r>
      <w:r>
        <w:t xml:space="preserve"> tables is to extract the valuation and imports tables from the combined (i.e. includes imported products) Use Table at purchasers</w:t>
      </w:r>
      <w:r w:rsidR="007066AA">
        <w:t>’</w:t>
      </w:r>
      <w:r>
        <w:t xml:space="preserve"> pr</w:t>
      </w:r>
      <w:r w:rsidR="007066AA">
        <w:t xml:space="preserve">ice. </w:t>
      </w:r>
      <w:r w:rsidR="006B59A3">
        <w:t>After removing imports, taxes and subsidies, and reallocating margins, we’re left with</w:t>
      </w:r>
      <w:r w:rsidR="007066AA">
        <w:t xml:space="preserve"> Domestic </w:t>
      </w:r>
      <w:r w:rsidR="006B59A3">
        <w:t xml:space="preserve">Supply and </w:t>
      </w:r>
      <w:r w:rsidR="007066AA">
        <w:t>Use T</w:t>
      </w:r>
      <w:r>
        <w:t>able</w:t>
      </w:r>
      <w:r w:rsidR="006B59A3">
        <w:t>s</w:t>
      </w:r>
      <w:r>
        <w:t xml:space="preserve"> at basic price</w:t>
      </w:r>
      <w:r w:rsidR="007066AA">
        <w:t>s</w:t>
      </w:r>
      <w:r>
        <w:t xml:space="preserve">. </w:t>
      </w:r>
      <w:r w:rsidR="00187592">
        <w:t>From here the tables can be transformed to Industry by Industry or Product by Product analytical tables.</w:t>
      </w:r>
    </w:p>
    <w:p w:rsidR="000279FF" w:rsidRDefault="00187592" w:rsidP="00CE11E2">
      <w:pPr>
        <w:pStyle w:val="BodyText"/>
      </w:pPr>
      <w:r>
        <w:t>In order to construct the analytical tables, some assumptions must be made</w:t>
      </w:r>
      <w:r w:rsidR="00B23164" w:rsidRPr="00272999">
        <w:t xml:space="preserve"> </w:t>
      </w:r>
      <w:r>
        <w:t xml:space="preserve">about secondary production </w:t>
      </w:r>
      <w:r w:rsidR="00B23164">
        <w:t xml:space="preserve">– i.e. the off-diagonal elements shown in the domestic part of the Supply Table.  </w:t>
      </w:r>
      <w:r>
        <w:t xml:space="preserve">For IxI tables, the assumption relates to the sales structure of secondary production.  For PxP tables, the assumption relates to </w:t>
      </w:r>
      <w:r w:rsidR="001335B8">
        <w:t>the input str</w:t>
      </w:r>
      <w:r w:rsidR="00267FBD">
        <w:t>uctures of secondary production.</w:t>
      </w:r>
    </w:p>
    <w:p w:rsidR="00267FBD" w:rsidRDefault="00267FBD" w:rsidP="00A03126">
      <w:pPr>
        <w:pStyle w:val="Heading2"/>
      </w:pPr>
      <w:bookmarkStart w:id="196" w:name="_Toc497137022"/>
      <w:r>
        <w:t xml:space="preserve">Derivation of Industry by Industry </w:t>
      </w:r>
      <w:r w:rsidRPr="00A03126">
        <w:t>analytical</w:t>
      </w:r>
      <w:r>
        <w:t xml:space="preserve"> tables</w:t>
      </w:r>
      <w:bookmarkEnd w:id="196"/>
    </w:p>
    <w:p w:rsidR="00267FBD" w:rsidRPr="00A03126" w:rsidRDefault="00267FBD" w:rsidP="00A03126">
      <w:pPr>
        <w:pStyle w:val="BodyText"/>
      </w:pPr>
      <w:r>
        <w:t>The Scottish government industry by industry analytical tables are generated from the Supply and Use tables under a Fixed Product Sales Structure (</w:t>
      </w:r>
      <w:proofErr w:type="spellStart"/>
      <w:r>
        <w:t>FPSS</w:t>
      </w:r>
      <w:proofErr w:type="spellEnd"/>
      <w:r>
        <w:t>) assumption – that the sales structure for a given product is the same regardless of which industry it is produced by.  This means that secondary production of a given product is sold to other industries and final demand in the same proportions as production of that product by its principal producing industry.</w:t>
      </w:r>
    </w:p>
    <w:p w:rsidR="00267FBD" w:rsidRDefault="00267FBD" w:rsidP="00146296">
      <w:pPr>
        <w:pStyle w:val="BodyText"/>
      </w:pPr>
      <w:r>
        <w:t>The details of the construction are provided below:</w:t>
      </w:r>
    </w:p>
    <w:p w:rsidR="00267FBD" w:rsidRDefault="006221F1" w:rsidP="00146296">
      <w:pPr>
        <w:pStyle w:val="BodyText"/>
        <w:spacing w:after="0"/>
      </w:pPr>
      <m:oMath>
        <m:sSup>
          <m:sSupPr>
            <m:ctrlPr>
              <w:rPr>
                <w:rFonts w:ascii="Cambria Math" w:hAnsi="Cambria Math"/>
              </w:rPr>
            </m:ctrlPr>
          </m:sSupPr>
          <m:e>
            <m:r>
              <m:rPr>
                <m:sty m:val="b"/>
              </m:rPr>
              <w:rPr>
                <w:rFonts w:ascii="Cambria Math" w:hAnsi="Cambria Math"/>
              </w:rPr>
              <m:t>V</m:t>
            </m:r>
          </m:e>
          <m:sup>
            <m:r>
              <m:rPr>
                <m:sty m:val="p"/>
              </m:rPr>
              <w:rPr>
                <w:rFonts w:ascii="Cambria Math" w:hAnsi="Cambria Math"/>
              </w:rPr>
              <m:t>T</m:t>
            </m:r>
          </m:sup>
        </m:sSup>
      </m:oMath>
      <w:r w:rsidR="00267FBD">
        <w:t xml:space="preserve"> = product by industry basic price supply matrix</w:t>
      </w:r>
    </w:p>
    <w:p w:rsidR="00267FBD" w:rsidRDefault="009B22EF" w:rsidP="00146296">
      <w:pPr>
        <w:pStyle w:val="BodyText"/>
        <w:spacing w:after="0"/>
      </w:pPr>
      <m:oMath>
        <m:r>
          <m:rPr>
            <m:sty m:val="b"/>
          </m:rPr>
          <w:rPr>
            <w:rFonts w:ascii="Cambria Math" w:hAnsi="Cambria Math"/>
          </w:rPr>
          <m:t>V</m:t>
        </m:r>
      </m:oMath>
      <w:r w:rsidR="00267FBD">
        <w:t xml:space="preserve"> = industry by product make matrix (transposed supply matrix)</w:t>
      </w:r>
    </w:p>
    <w:p w:rsidR="00267FBD" w:rsidRDefault="009B22EF" w:rsidP="00146296">
      <w:pPr>
        <w:pStyle w:val="BodyText"/>
        <w:spacing w:after="0"/>
      </w:pPr>
      <m:oMath>
        <m:r>
          <m:rPr>
            <m:sty m:val="b"/>
          </m:rPr>
          <w:rPr>
            <w:rFonts w:ascii="Cambria Math" w:hAnsi="Cambria Math"/>
          </w:rPr>
          <m:t>U</m:t>
        </m:r>
      </m:oMath>
      <w:r w:rsidR="00267FBD">
        <w:t xml:space="preserve"> = intermediate consumption quadrant of the basic price Use table (product by industry)</w:t>
      </w:r>
    </w:p>
    <w:p w:rsidR="00267FBD" w:rsidRDefault="009B22EF" w:rsidP="00146296">
      <w:pPr>
        <w:pStyle w:val="BodyText"/>
        <w:spacing w:after="0"/>
      </w:pPr>
      <m:oMath>
        <m:r>
          <m:rPr>
            <m:sty m:val="b"/>
          </m:rPr>
          <w:rPr>
            <w:rFonts w:ascii="Cambria Math" w:hAnsi="Cambria Math"/>
          </w:rPr>
          <m:t>W</m:t>
        </m:r>
      </m:oMath>
      <w:r w:rsidR="00267FBD">
        <w:t xml:space="preserve"> = value added quadrant of the basic price use table (Component of GVA by industry)</w:t>
      </w:r>
    </w:p>
    <w:p w:rsidR="00267FBD" w:rsidRDefault="009B22EF" w:rsidP="00146296">
      <w:pPr>
        <w:pStyle w:val="BodyText"/>
        <w:spacing w:after="0"/>
      </w:pPr>
      <m:oMath>
        <m:r>
          <m:rPr>
            <m:sty m:val="b"/>
          </m:rPr>
          <w:rPr>
            <w:rFonts w:ascii="Cambria Math" w:hAnsi="Cambria Math"/>
          </w:rPr>
          <m:t>Y</m:t>
        </m:r>
      </m:oMath>
      <w:r w:rsidR="00267FBD">
        <w:t xml:space="preserve"> = final demand quadrant (product by final demand category)</w:t>
      </w:r>
    </w:p>
    <w:p w:rsidR="00267FBD" w:rsidRDefault="00DB199E" w:rsidP="00146296">
      <w:pPr>
        <w:pStyle w:val="BodyText"/>
        <w:spacing w:after="0"/>
      </w:pPr>
      <m:oMath>
        <m:r>
          <m:rPr>
            <m:sty m:val="b"/>
          </m:rPr>
          <w:rPr>
            <w:rFonts w:ascii="Cambria Math" w:hAnsi="Cambria Math"/>
          </w:rPr>
          <m:t>q</m:t>
        </m:r>
      </m:oMath>
      <w:r w:rsidR="00267FBD">
        <w:t xml:space="preserve"> = vector of product outputs</w:t>
      </w:r>
    </w:p>
    <w:p w:rsidR="00267FBD" w:rsidRDefault="00DB199E" w:rsidP="00146296">
      <w:pPr>
        <w:pStyle w:val="BodyText"/>
        <w:spacing w:after="0"/>
      </w:pPr>
      <m:oMath>
        <m:r>
          <m:rPr>
            <m:sty m:val="b"/>
          </m:rPr>
          <w:rPr>
            <w:rFonts w:ascii="Cambria Math" w:hAnsi="Cambria Math"/>
          </w:rPr>
          <m:t>g</m:t>
        </m:r>
      </m:oMath>
      <w:r w:rsidR="00267FBD">
        <w:t xml:space="preserve"> = vector of industry outputs</w:t>
      </w:r>
    </w:p>
    <w:p w:rsidR="00267FBD" w:rsidRDefault="006221F1" w:rsidP="00146296">
      <w:pPr>
        <w:pStyle w:val="BodyText"/>
        <w:spacing w:after="0"/>
      </w:pPr>
      <m:oMath>
        <m:acc>
          <m:accPr>
            <m:ctrlPr>
              <w:rPr>
                <w:rFonts w:ascii="Cambria Math" w:hAnsi="Cambria Math"/>
                <w:b/>
              </w:rPr>
            </m:ctrlPr>
          </m:accPr>
          <m:e>
            <m:r>
              <m:rPr>
                <m:sty m:val="b"/>
              </m:rPr>
              <w:rPr>
                <w:rFonts w:ascii="Cambria Math" w:hAnsi="Cambria Math"/>
              </w:rPr>
              <m:t>q</m:t>
            </m:r>
          </m:e>
        </m:acc>
      </m:oMath>
      <w:r w:rsidR="00267FBD">
        <w:t xml:space="preserve"> = matrix with </w:t>
      </w:r>
      <w:r w:rsidR="00DB199E">
        <w:t xml:space="preserve">elements of </w:t>
      </w:r>
      <m:oMath>
        <m:r>
          <m:rPr>
            <m:sty m:val="b"/>
          </m:rPr>
          <w:rPr>
            <w:rFonts w:ascii="Cambria Math" w:hAnsi="Cambria Math"/>
          </w:rPr>
          <m:t>q</m:t>
        </m:r>
      </m:oMath>
      <w:r w:rsidR="00267FBD">
        <w:t xml:space="preserve"> on the diagonal and zeroes elsewhere (similarly for </w:t>
      </w:r>
      <m:oMath>
        <m:acc>
          <m:accPr>
            <m:ctrlPr>
              <w:rPr>
                <w:rFonts w:ascii="Cambria Math" w:hAnsi="Cambria Math"/>
                <w:b/>
              </w:rPr>
            </m:ctrlPr>
          </m:accPr>
          <m:e>
            <m:r>
              <m:rPr>
                <m:sty m:val="b"/>
              </m:rPr>
              <w:rPr>
                <w:rFonts w:ascii="Cambria Math" w:hAnsi="Cambria Math"/>
              </w:rPr>
              <m:t>g</m:t>
            </m:r>
          </m:e>
        </m:acc>
      </m:oMath>
      <w:r w:rsidR="00476778">
        <w:t>)</w:t>
      </w:r>
    </w:p>
    <w:p w:rsidR="00267FBD" w:rsidRDefault="00267FBD" w:rsidP="00146296">
      <w:pPr>
        <w:pStyle w:val="BodyText"/>
      </w:pPr>
    </w:p>
    <w:p w:rsidR="00267FBD" w:rsidRDefault="00267FBD" w:rsidP="00146296">
      <w:pPr>
        <w:pStyle w:val="BodyText"/>
      </w:pPr>
      <w:r>
        <w:t xml:space="preserve">We create a transformation matrix </w:t>
      </w:r>
      <m:oMath>
        <m:r>
          <m:rPr>
            <m:sty m:val="b"/>
          </m:rPr>
          <w:rPr>
            <w:rFonts w:ascii="Cambria Math" w:hAnsi="Cambria Math"/>
          </w:rPr>
          <m:t>T</m:t>
        </m:r>
      </m:oMath>
      <w:r>
        <w:t xml:space="preserve"> by dividing each column of </w:t>
      </w:r>
      <m:oMath>
        <m:r>
          <m:rPr>
            <m:sty m:val="b"/>
          </m:rPr>
          <w:rPr>
            <w:rFonts w:ascii="Cambria Math" w:hAnsi="Cambria Math"/>
          </w:rPr>
          <m:t>V</m:t>
        </m:r>
      </m:oMath>
      <w:r>
        <w:t xml:space="preserve"> by its column total (i.e. the corresponding element of </w:t>
      </w:r>
      <m:oMath>
        <m:r>
          <m:rPr>
            <m:sty m:val="b"/>
          </m:rPr>
          <w:rPr>
            <w:rFonts w:ascii="Cambria Math" w:hAnsi="Cambria Math"/>
          </w:rPr>
          <m:t>q</m:t>
        </m:r>
      </m:oMath>
      <w:r>
        <w:t>).  This is gives a matrix of commodity output proportions for each industry (also known as the market shares matrix).  In matrix form:</w:t>
      </w:r>
    </w:p>
    <w:p w:rsidR="00237BD0" w:rsidRDefault="00237BD0" w:rsidP="00146296">
      <w:pPr>
        <w:pStyle w:val="BodyText"/>
        <w:jc w:val="center"/>
      </w:pPr>
      <w:r>
        <w:rPr>
          <w:noProof/>
        </w:rPr>
        <w:drawing>
          <wp:inline distT="0" distB="0" distL="0" distR="0" wp14:anchorId="5D322680" wp14:editId="67FBD61D">
            <wp:extent cx="619200" cy="144000"/>
            <wp:effectExtent l="0" t="0" r="0" b="8890"/>
            <wp:docPr id="23" name="Picture 23" descr="\\s0429a\datashare\OCEA\Input-Output\Publication\2015 Publication (1998-2012 IO tables, ESA2010)\Maths_image_for_method_guide\T_equal_V_q_hat_power_minus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0429a\datashare\OCEA\Input-Output\Publication\2015 Publication (1998-2012 IO tables, ESA2010)\Maths_image_for_method_guide\T_equal_V_q_hat_power_minus_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9200" cy="144000"/>
                    </a:xfrm>
                    <a:prstGeom prst="rect">
                      <a:avLst/>
                    </a:prstGeom>
                    <a:noFill/>
                    <a:ln>
                      <a:noFill/>
                    </a:ln>
                  </pic:spPr>
                </pic:pic>
              </a:graphicData>
            </a:graphic>
          </wp:inline>
        </w:drawing>
      </w:r>
    </w:p>
    <w:p w:rsidR="00A03126" w:rsidRDefault="00A03126">
      <w:r>
        <w:br w:type="page"/>
      </w:r>
    </w:p>
    <w:p w:rsidR="00267FBD" w:rsidRDefault="00267FBD" w:rsidP="00146296">
      <w:pPr>
        <w:pStyle w:val="BodyText"/>
      </w:pPr>
      <w:r>
        <w:lastRenderedPageBreak/>
        <w:t>In order to create the IxI matrix, we need to obtain the following three matrices:</w:t>
      </w:r>
    </w:p>
    <w:p w:rsidR="00267FBD" w:rsidRDefault="00267FBD" w:rsidP="00146296">
      <w:pPr>
        <w:pStyle w:val="BodyText"/>
        <w:numPr>
          <w:ilvl w:val="0"/>
          <w:numId w:val="8"/>
        </w:numPr>
        <w:spacing w:after="0"/>
        <w:ind w:left="1281" w:hanging="357"/>
      </w:pPr>
      <w:r>
        <w:t xml:space="preserve">Intermediates in the form industry by industry, </w:t>
      </w:r>
      <m:oMath>
        <m:r>
          <m:rPr>
            <m:sty m:val="b"/>
          </m:rPr>
          <w:rPr>
            <w:rFonts w:ascii="Cambria Math" w:hAnsi="Cambria Math"/>
          </w:rPr>
          <m:t>B</m:t>
        </m:r>
      </m:oMath>
    </w:p>
    <w:p w:rsidR="00267FBD" w:rsidRDefault="00267FBD" w:rsidP="00146296">
      <w:pPr>
        <w:pStyle w:val="BodyText"/>
        <w:numPr>
          <w:ilvl w:val="0"/>
          <w:numId w:val="8"/>
        </w:numPr>
        <w:spacing w:after="0"/>
        <w:ind w:left="1281" w:hanging="357"/>
      </w:pPr>
      <w:r>
        <w:t xml:space="preserve">Value added by industry, </w:t>
      </w:r>
      <m:oMath>
        <m:r>
          <m:rPr>
            <m:sty m:val="b"/>
          </m:rPr>
          <w:rPr>
            <w:rFonts w:ascii="Cambria Math" w:hAnsi="Cambria Math"/>
          </w:rPr>
          <m:t>W</m:t>
        </m:r>
      </m:oMath>
    </w:p>
    <w:p w:rsidR="00267FBD" w:rsidRPr="00146296" w:rsidRDefault="00267FBD" w:rsidP="00146296">
      <w:pPr>
        <w:pStyle w:val="BodyText"/>
        <w:numPr>
          <w:ilvl w:val="0"/>
          <w:numId w:val="8"/>
        </w:numPr>
        <w:spacing w:after="0"/>
        <w:ind w:left="1281" w:hanging="357"/>
      </w:pPr>
      <w:r>
        <w:t xml:space="preserve">Final demand by industry, </w:t>
      </w:r>
      <m:oMath>
        <m:r>
          <m:rPr>
            <m:sty m:val="b"/>
          </m:rPr>
          <w:rPr>
            <w:rFonts w:ascii="Cambria Math" w:hAnsi="Cambria Math"/>
          </w:rPr>
          <m:t>F</m:t>
        </m:r>
      </m:oMath>
    </w:p>
    <w:p w:rsidR="00146296" w:rsidRDefault="00146296" w:rsidP="00146296">
      <w:pPr>
        <w:pStyle w:val="BodyText"/>
        <w:spacing w:after="0"/>
      </w:pPr>
    </w:p>
    <w:p w:rsidR="00267FBD" w:rsidRDefault="009B22EF" w:rsidP="00146296">
      <w:pPr>
        <w:pStyle w:val="BodyText"/>
      </w:pPr>
      <m:oMath>
        <m:r>
          <m:rPr>
            <m:sty m:val="b"/>
          </m:rPr>
          <w:rPr>
            <w:rFonts w:ascii="Cambria Math" w:hAnsi="Cambria Math"/>
          </w:rPr>
          <m:t>W</m:t>
        </m:r>
      </m:oMath>
      <w:r w:rsidR="00267FBD">
        <w:t xml:space="preserve"> does not have a product dimension and does not need to be transformed.  The rows of </w:t>
      </w:r>
      <m:oMath>
        <m:r>
          <m:rPr>
            <m:sty m:val="b"/>
          </m:rPr>
          <w:rPr>
            <w:rFonts w:ascii="Cambria Math" w:hAnsi="Cambria Math"/>
          </w:rPr>
          <m:t>U</m:t>
        </m:r>
      </m:oMath>
      <w:r w:rsidR="00267FBD">
        <w:t xml:space="preserve"> and </w:t>
      </w:r>
      <m:oMath>
        <m:r>
          <m:rPr>
            <m:sty m:val="b"/>
          </m:rPr>
          <w:rPr>
            <w:rFonts w:ascii="Cambria Math" w:hAnsi="Cambria Math"/>
          </w:rPr>
          <m:t>Y</m:t>
        </m:r>
      </m:oMath>
      <w:r w:rsidR="00267FBD">
        <w:t xml:space="preserve"> however refer to products and need to be converted to industries by pre</w:t>
      </w:r>
      <w:r w:rsidR="00476778">
        <w:t>-</w:t>
      </w:r>
      <w:r w:rsidR="00267FBD">
        <w:t>multiplication by the market shares matrix:</w:t>
      </w:r>
    </w:p>
    <w:p w:rsidR="00DC5901" w:rsidRDefault="00DC5901" w:rsidP="0037611B">
      <w:pPr>
        <w:pStyle w:val="BodyText"/>
        <w:spacing w:after="0"/>
        <w:jc w:val="center"/>
      </w:pPr>
      <w:r>
        <w:rPr>
          <w:noProof/>
        </w:rPr>
        <w:drawing>
          <wp:inline distT="0" distB="0" distL="0" distR="0" wp14:anchorId="4351F9AA" wp14:editId="3AE3D483">
            <wp:extent cx="1224000" cy="127979"/>
            <wp:effectExtent l="0" t="0" r="0" b="5715"/>
            <wp:docPr id="4" name="Picture 4" descr="\\s0429a\datashare\OCEA\Input-Output\Publication\2015 Publication (1998-2012 IO tables, ESA2010)\Maths_image_for_method_guide\B_equal_TU_and_F_equal_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0429a\datashare\OCEA\Input-Output\Publication\2015 Publication (1998-2012 IO tables, ESA2010)\Maths_image_for_method_guide\B_equal_TU_and_F_equal_TY.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24000" cy="127979"/>
                    </a:xfrm>
                    <a:prstGeom prst="rect">
                      <a:avLst/>
                    </a:prstGeom>
                    <a:noFill/>
                    <a:ln>
                      <a:noFill/>
                    </a:ln>
                  </pic:spPr>
                </pic:pic>
              </a:graphicData>
            </a:graphic>
          </wp:inline>
        </w:drawing>
      </w:r>
    </w:p>
    <w:p w:rsidR="00DC5901" w:rsidRDefault="00DC5901" w:rsidP="00146296">
      <w:pPr>
        <w:pStyle w:val="BodyText"/>
        <w:spacing w:after="0"/>
      </w:pPr>
    </w:p>
    <w:p w:rsidR="00267FBD" w:rsidRDefault="00BB36B7" w:rsidP="00146296">
      <w:pPr>
        <w:pStyle w:val="BodyText"/>
      </w:pPr>
      <m:oMath>
        <m:r>
          <m:rPr>
            <m:sty m:val="b"/>
          </m:rPr>
          <w:rPr>
            <w:rFonts w:ascii="Cambria Math" w:hAnsi="Cambria Math"/>
          </w:rPr>
          <m:t>B</m:t>
        </m:r>
      </m:oMath>
      <w:r w:rsidR="00267FBD">
        <w:t xml:space="preserve">, </w:t>
      </w:r>
      <m:oMath>
        <m:r>
          <m:rPr>
            <m:sty m:val="b"/>
          </m:rPr>
          <w:rPr>
            <w:rFonts w:ascii="Cambria Math" w:hAnsi="Cambria Math"/>
          </w:rPr>
          <m:t>F</m:t>
        </m:r>
      </m:oMath>
      <w:r w:rsidR="00267FBD">
        <w:t xml:space="preserve"> and </w:t>
      </w:r>
      <m:oMath>
        <m:r>
          <m:rPr>
            <m:sty m:val="b"/>
          </m:rPr>
          <w:rPr>
            <w:rFonts w:ascii="Cambria Math" w:hAnsi="Cambria Math"/>
          </w:rPr>
          <m:t>W</m:t>
        </m:r>
      </m:oMath>
      <w:r w:rsidR="00267FBD">
        <w:t xml:space="preserve"> together make up the Industry by Industry table.</w:t>
      </w:r>
    </w:p>
    <w:p w:rsidR="00267FBD" w:rsidRDefault="00267FBD" w:rsidP="00146296">
      <w:pPr>
        <w:pStyle w:val="Heading2"/>
      </w:pPr>
      <w:bookmarkStart w:id="197" w:name="_Toc497137023"/>
      <w:r>
        <w:t>Derivation of Product by Product analytical tables</w:t>
      </w:r>
      <w:bookmarkEnd w:id="197"/>
    </w:p>
    <w:p w:rsidR="00267FBD" w:rsidRDefault="00267FBD" w:rsidP="00146296">
      <w:pPr>
        <w:pStyle w:val="BodyText"/>
      </w:pPr>
      <w:r>
        <w:t>The Scottish Government product by product symmetric tables are generated using a</w:t>
      </w:r>
      <w:r w:rsidRPr="00C55E5F">
        <w:t xml:space="preserve"> hybrid technology assumption</w:t>
      </w:r>
      <w:r>
        <w:t xml:space="preserve"> transformation model in line with that used for the 2005 and 2010 UK Input-Output analytical tables.  This combines models based on two possible assumptions relating to secondary production by industries, i.e. the off-diagona</w:t>
      </w:r>
      <w:r w:rsidR="00D26966">
        <w:t>l elements of the supply table.</w:t>
      </w:r>
    </w:p>
    <w:p w:rsidR="00267FBD" w:rsidRDefault="00267FBD" w:rsidP="00146296">
      <w:pPr>
        <w:pStyle w:val="BodyText"/>
      </w:pPr>
      <w:r>
        <w:t xml:space="preserve">In producing such secondary products, we either assume that there will be no difference in the structure of inputs required from that shown by the industry (an </w:t>
      </w:r>
      <w:r w:rsidRPr="00D26966">
        <w:rPr>
          <w:b/>
        </w:rPr>
        <w:t>Industry Technology Assumption</w:t>
      </w:r>
      <w:r>
        <w:t xml:space="preserve">), or, conversely, we can assume that in producing secondary outputs an industry would need to use the inputs typically shown by the main industry producing the product in question (a </w:t>
      </w:r>
      <w:r w:rsidRPr="00D26966">
        <w:rPr>
          <w:b/>
        </w:rPr>
        <w:t>Product Technology Assumption</w:t>
      </w:r>
      <w:r w:rsidR="00D26966">
        <w:t>).</w:t>
      </w:r>
    </w:p>
    <w:p w:rsidR="00267FBD" w:rsidRDefault="00267FBD" w:rsidP="00146296">
      <w:pPr>
        <w:pStyle w:val="BodyText"/>
      </w:pPr>
      <w:r>
        <w:t>A common real-world example relates to the output of animal feed as a by-product of the production of whisky and other spirits.  In this case, a distiller will only purchase the inputs required for the production of their principal product and will not purchase the inputs typically bought by dedicated animal feed producers.  Consequently, for the production of animal feed by the spirits and wine industry, an industry tec</w:t>
      </w:r>
      <w:r w:rsidR="00D26966">
        <w:t>hnology assumption is employed.</w:t>
      </w:r>
    </w:p>
    <w:p w:rsidR="00267FBD" w:rsidRDefault="00267FBD" w:rsidP="00146296">
      <w:pPr>
        <w:pStyle w:val="BodyText"/>
      </w:pPr>
      <w:r>
        <w:t>Another example relates to the production of hotels and catering output by the agriculture industry.  When renting-out holiday accommodation, agricultural producers will generally act as if they were dedicated hoteliers, and buy a typical mix of inputs associated with the provision of accommodation (linen, detergents, food).  In this case, the original agriculture column will be altered using the input structure shown in the hotels and catering column – a Product Technolog</w:t>
      </w:r>
      <w:r w:rsidR="00D26966">
        <w:t>y Assumption would be employed.</w:t>
      </w:r>
    </w:p>
    <w:p w:rsidR="00267FBD" w:rsidRDefault="00267FBD" w:rsidP="00146296">
      <w:pPr>
        <w:pStyle w:val="BodyText"/>
      </w:pPr>
      <w:r>
        <w:t>Details of the product by product transformation models under industry and product technology assumptions are provided first, before continuin</w:t>
      </w:r>
      <w:r w:rsidR="00D26966">
        <w:t>g to describe the hybrid model.</w:t>
      </w:r>
    </w:p>
    <w:p w:rsidR="00267FBD" w:rsidRDefault="00D26966" w:rsidP="00146296">
      <w:pPr>
        <w:pStyle w:val="Heading3"/>
      </w:pPr>
      <w:bookmarkStart w:id="198" w:name="_Toc497137024"/>
      <w:r>
        <w:t xml:space="preserve">The </w:t>
      </w:r>
      <w:r w:rsidR="00267FBD">
        <w:t>Industry Technology Assumption</w:t>
      </w:r>
      <w:bookmarkEnd w:id="198"/>
    </w:p>
    <w:p w:rsidR="00267FBD" w:rsidRDefault="00267FBD" w:rsidP="00146296">
      <w:pPr>
        <w:pStyle w:val="BodyText"/>
      </w:pPr>
      <w:r>
        <w:t xml:space="preserve">Here we define the transformation matrix </w:t>
      </w:r>
      <m:oMath>
        <m:r>
          <m:rPr>
            <m:sty m:val="b"/>
          </m:rPr>
          <w:rPr>
            <w:rFonts w:ascii="Cambria Math" w:hAnsi="Cambria Math"/>
          </w:rPr>
          <m:t>T</m:t>
        </m:r>
      </m:oMath>
      <w:r>
        <w:t xml:space="preserve"> by dividing each row of </w:t>
      </w:r>
      <m:oMath>
        <m:r>
          <m:rPr>
            <m:sty m:val="b"/>
          </m:rPr>
          <w:rPr>
            <w:rFonts w:ascii="Cambria Math" w:hAnsi="Cambria Math"/>
          </w:rPr>
          <m:t>V</m:t>
        </m:r>
      </m:oMath>
      <w:r>
        <w:t xml:space="preserve"> by its row total (i.e. the corresponding element of </w:t>
      </w:r>
      <m:oMath>
        <m:r>
          <m:rPr>
            <m:sty m:val="b"/>
          </m:rPr>
          <w:rPr>
            <w:rFonts w:ascii="Cambria Math" w:hAnsi="Cambria Math"/>
          </w:rPr>
          <m:t>q</m:t>
        </m:r>
      </m:oMath>
      <w:r>
        <w:t>).  This is gives a matrix of industry output proportions for each product (also known as the product mix matrix).  In matrix form:</w:t>
      </w:r>
    </w:p>
    <w:p w:rsidR="00AF4ACD" w:rsidRDefault="00AF4ACD" w:rsidP="00146296">
      <w:pPr>
        <w:pStyle w:val="BodyText"/>
        <w:jc w:val="center"/>
      </w:pPr>
      <w:r>
        <w:rPr>
          <w:noProof/>
        </w:rPr>
        <w:drawing>
          <wp:inline distT="0" distB="0" distL="0" distR="0" wp14:anchorId="515C72B1" wp14:editId="62A8C69E">
            <wp:extent cx="612000" cy="142800"/>
            <wp:effectExtent l="0" t="0" r="0" b="0"/>
            <wp:docPr id="45" name="Picture 45" descr="\\s0429a\datashare\OCEA\Input-Output\Publication\2015 Publication (1998-2012 IO tables, ESA2010)\Maths_image_for_method_guide\T_equal_hat_g_power_minus_1_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0429a\datashare\OCEA\Input-Output\Publication\2015 Publication (1998-2012 IO tables, ESA2010)\Maths_image_for_method_guide\T_equal_hat_g_power_minus_1_V.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00" cy="142800"/>
                    </a:xfrm>
                    <a:prstGeom prst="rect">
                      <a:avLst/>
                    </a:prstGeom>
                    <a:noFill/>
                    <a:ln>
                      <a:noFill/>
                    </a:ln>
                  </pic:spPr>
                </pic:pic>
              </a:graphicData>
            </a:graphic>
          </wp:inline>
        </w:drawing>
      </w:r>
    </w:p>
    <w:p w:rsidR="00267FBD" w:rsidRDefault="00267FBD" w:rsidP="00146296">
      <w:pPr>
        <w:pStyle w:val="BodyText"/>
      </w:pPr>
      <w:r>
        <w:t>In order to create the PxP matrix, we need to obtain the following three matrices:</w:t>
      </w:r>
    </w:p>
    <w:p w:rsidR="00267FBD" w:rsidRDefault="00267FBD" w:rsidP="00146296">
      <w:pPr>
        <w:pStyle w:val="BodyText"/>
        <w:numPr>
          <w:ilvl w:val="0"/>
          <w:numId w:val="9"/>
        </w:numPr>
        <w:spacing w:after="0"/>
        <w:ind w:left="1281" w:hanging="357"/>
      </w:pPr>
      <w:r>
        <w:t xml:space="preserve">Intermediates in the form product by product, </w:t>
      </w:r>
      <m:oMath>
        <m:r>
          <m:rPr>
            <m:sty m:val="b"/>
          </m:rPr>
          <w:rPr>
            <w:rFonts w:ascii="Cambria Math" w:hAnsi="Cambria Math"/>
          </w:rPr>
          <m:t>S</m:t>
        </m:r>
      </m:oMath>
    </w:p>
    <w:p w:rsidR="00267FBD" w:rsidRDefault="00267FBD" w:rsidP="00146296">
      <w:pPr>
        <w:pStyle w:val="BodyText"/>
        <w:numPr>
          <w:ilvl w:val="0"/>
          <w:numId w:val="9"/>
        </w:numPr>
        <w:spacing w:after="0"/>
        <w:ind w:left="1281" w:hanging="357"/>
      </w:pPr>
      <w:r>
        <w:t xml:space="preserve">Value added by product, </w:t>
      </w:r>
      <m:oMath>
        <m:r>
          <m:rPr>
            <m:sty m:val="b"/>
          </m:rPr>
          <w:rPr>
            <w:rFonts w:ascii="Cambria Math" w:hAnsi="Cambria Math"/>
          </w:rPr>
          <m:t>E</m:t>
        </m:r>
      </m:oMath>
    </w:p>
    <w:p w:rsidR="00267FBD" w:rsidRDefault="00267FBD" w:rsidP="00146296">
      <w:pPr>
        <w:pStyle w:val="BodyText"/>
        <w:numPr>
          <w:ilvl w:val="0"/>
          <w:numId w:val="9"/>
        </w:numPr>
        <w:spacing w:after="0"/>
        <w:ind w:left="1281" w:hanging="357"/>
      </w:pPr>
      <w:r>
        <w:t xml:space="preserve">Final demand by product, </w:t>
      </w:r>
      <m:oMath>
        <m:r>
          <m:rPr>
            <m:sty m:val="b"/>
          </m:rPr>
          <w:rPr>
            <w:rFonts w:ascii="Cambria Math" w:hAnsi="Cambria Math"/>
          </w:rPr>
          <m:t>Y</m:t>
        </m:r>
      </m:oMath>
    </w:p>
    <w:p w:rsidR="00267FBD" w:rsidRDefault="00267FBD" w:rsidP="00146296">
      <w:pPr>
        <w:pStyle w:val="BodyText"/>
        <w:spacing w:after="0"/>
        <w:ind w:left="1281"/>
      </w:pPr>
    </w:p>
    <w:p w:rsidR="00267FBD" w:rsidRDefault="00267FBD" w:rsidP="00146296">
      <w:pPr>
        <w:pStyle w:val="BodyText"/>
        <w:spacing w:after="0"/>
      </w:pPr>
      <w:r>
        <w:t xml:space="preserve">We already have </w:t>
      </w:r>
      <m:oMath>
        <m:r>
          <m:rPr>
            <m:sty m:val="b"/>
          </m:rPr>
          <w:rPr>
            <w:rFonts w:ascii="Cambria Math" w:hAnsi="Cambria Math"/>
          </w:rPr>
          <m:t>Y</m:t>
        </m:r>
      </m:oMath>
      <w:r>
        <w:t xml:space="preserve">, final demand by product from the Use table.  The columns of </w:t>
      </w:r>
      <m:oMath>
        <m:r>
          <m:rPr>
            <m:sty m:val="b"/>
          </m:rPr>
          <w:rPr>
            <w:rFonts w:ascii="Cambria Math" w:hAnsi="Cambria Math"/>
          </w:rPr>
          <m:t>U</m:t>
        </m:r>
      </m:oMath>
      <w:r>
        <w:t xml:space="preserve"> and </w:t>
      </w:r>
      <m:oMath>
        <m:r>
          <m:rPr>
            <m:sty m:val="b"/>
          </m:rPr>
          <w:rPr>
            <w:rFonts w:ascii="Cambria Math" w:hAnsi="Cambria Math"/>
          </w:rPr>
          <m:t>W</m:t>
        </m:r>
      </m:oMath>
      <w:r>
        <w:t xml:space="preserve"> however refer to products and need to be converted to industries by post</w:t>
      </w:r>
      <w:r w:rsidR="00F81A0B">
        <w:t>-</w:t>
      </w:r>
      <w:r>
        <w:t xml:space="preserve">multiplying by the </w:t>
      </w:r>
      <w:r>
        <w:lastRenderedPageBreak/>
        <w:t>product mix matrix:</w:t>
      </w:r>
    </w:p>
    <w:p w:rsidR="002907B8" w:rsidRPr="00A03126" w:rsidRDefault="00AF4ACD" w:rsidP="00A03126">
      <w:pPr>
        <w:pStyle w:val="BodyText"/>
        <w:jc w:val="center"/>
      </w:pPr>
      <w:r>
        <w:rPr>
          <w:noProof/>
        </w:rPr>
        <w:drawing>
          <wp:inline distT="0" distB="0" distL="0" distR="0" wp14:anchorId="7FD87ED3" wp14:editId="2F866648">
            <wp:extent cx="1188000" cy="122911"/>
            <wp:effectExtent l="0" t="0" r="0" b="0"/>
            <wp:docPr id="42" name="Picture 42" descr="\\s0429a\datashare\OCEA\Input-Output\Publication\2015 Publication (1998-2012 IO tables, ESA2010)\Maths_image_for_method_guide\S_equal_UT_and_E_equal_W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0429a\datashare\OCEA\Input-Output\Publication\2015 Publication (1998-2012 IO tables, ESA2010)\Maths_image_for_method_guide\S_equal_UT_and_E_equal_WT.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88000" cy="122911"/>
                    </a:xfrm>
                    <a:prstGeom prst="rect">
                      <a:avLst/>
                    </a:prstGeom>
                    <a:noFill/>
                    <a:ln>
                      <a:noFill/>
                    </a:ln>
                  </pic:spPr>
                </pic:pic>
              </a:graphicData>
            </a:graphic>
          </wp:inline>
        </w:drawing>
      </w:r>
    </w:p>
    <w:p w:rsidR="00267FBD" w:rsidRDefault="00F81A0B" w:rsidP="00146296">
      <w:pPr>
        <w:pStyle w:val="BodyText"/>
        <w:spacing w:after="0"/>
      </w:pPr>
      <m:oMath>
        <m:r>
          <m:rPr>
            <m:sty m:val="b"/>
          </m:rPr>
          <w:rPr>
            <w:rFonts w:ascii="Cambria Math" w:hAnsi="Cambria Math"/>
          </w:rPr>
          <m:t>S</m:t>
        </m:r>
      </m:oMath>
      <w:r w:rsidR="00267FBD">
        <w:t xml:space="preserve">, </w:t>
      </w:r>
      <m:oMath>
        <m:r>
          <m:rPr>
            <m:sty m:val="b"/>
          </m:rPr>
          <w:rPr>
            <w:rFonts w:ascii="Cambria Math" w:hAnsi="Cambria Math"/>
          </w:rPr>
          <m:t>Y</m:t>
        </m:r>
      </m:oMath>
      <w:r w:rsidR="00267FBD">
        <w:t xml:space="preserve"> and </w:t>
      </w:r>
      <m:oMath>
        <m:r>
          <m:rPr>
            <m:sty m:val="b"/>
          </m:rPr>
          <w:rPr>
            <w:rFonts w:ascii="Cambria Math" w:hAnsi="Cambria Math"/>
          </w:rPr>
          <m:t>E</m:t>
        </m:r>
      </m:oMath>
      <w:r w:rsidR="00267FBD">
        <w:t xml:space="preserve"> together make up the product by product table.</w:t>
      </w:r>
    </w:p>
    <w:p w:rsidR="00267FBD" w:rsidRDefault="00D26966" w:rsidP="00146296">
      <w:pPr>
        <w:pStyle w:val="Heading3"/>
      </w:pPr>
      <w:bookmarkStart w:id="199" w:name="_Toc497137025"/>
      <w:r>
        <w:t xml:space="preserve">The </w:t>
      </w:r>
      <w:r w:rsidR="00267FBD">
        <w:t>Product Technology Assumption</w:t>
      </w:r>
      <w:bookmarkEnd w:id="199"/>
    </w:p>
    <w:p w:rsidR="00267FBD" w:rsidRDefault="00267FBD" w:rsidP="00146296">
      <w:pPr>
        <w:pStyle w:val="BodyText"/>
      </w:pPr>
      <w:r>
        <w:t>Here we define</w:t>
      </w:r>
      <w:r w:rsidR="00A03126">
        <w:t>d</w:t>
      </w:r>
      <w:r>
        <w:t xml:space="preserve"> the transformation matrix </w:t>
      </w:r>
      <m:oMath>
        <m:r>
          <m:rPr>
            <m:sty m:val="b"/>
          </m:rPr>
          <w:rPr>
            <w:rFonts w:ascii="Cambria Math" w:hAnsi="Cambria Math"/>
          </w:rPr>
          <m:t>T</m:t>
        </m:r>
      </m:oMath>
      <w:r>
        <w:t xml:space="preserve"> as follows:</w:t>
      </w:r>
    </w:p>
    <w:p w:rsidR="004B3A5F" w:rsidRPr="00A03126" w:rsidRDefault="00AF4ACD" w:rsidP="00A03126">
      <w:pPr>
        <w:pStyle w:val="BodyText"/>
        <w:jc w:val="center"/>
      </w:pPr>
      <w:r>
        <w:rPr>
          <w:noProof/>
        </w:rPr>
        <w:drawing>
          <wp:inline distT="0" distB="0" distL="0" distR="0" wp14:anchorId="520E94EC" wp14:editId="1474077D">
            <wp:extent cx="972000" cy="195468"/>
            <wp:effectExtent l="0" t="0" r="0" b="0"/>
            <wp:docPr id="30" name="Picture 30" descr="\\s0429a\datashare\OCEA\Input-Output\Publication\2015 Publication (1998-2012 IO tables, ESA2010)\Maths_image_for_method_guide\T_equal_V_transpose_power_minus_1_hat_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0429a\datashare\OCEA\Input-Output\Publication\2015 Publication (1998-2012 IO tables, ESA2010)\Maths_image_for_method_guide\T_equal_V_transpose_power_minus_1_hat_q.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72000" cy="195468"/>
                    </a:xfrm>
                    <a:prstGeom prst="rect">
                      <a:avLst/>
                    </a:prstGeom>
                    <a:noFill/>
                    <a:ln>
                      <a:noFill/>
                    </a:ln>
                  </pic:spPr>
                </pic:pic>
              </a:graphicData>
            </a:graphic>
          </wp:inline>
        </w:drawing>
      </w:r>
    </w:p>
    <w:p w:rsidR="00A03126" w:rsidRDefault="00267FBD" w:rsidP="00146296">
      <w:pPr>
        <w:pStyle w:val="BodyText"/>
      </w:pPr>
      <w:r>
        <w:t>(Note that this is the transposed inverse of the market shares matrix used for the industry by i</w:t>
      </w:r>
      <w:r w:rsidR="00A03126">
        <w:t>ndustry transformation matrix).</w:t>
      </w:r>
    </w:p>
    <w:p w:rsidR="00267FBD" w:rsidRDefault="00267FBD" w:rsidP="00146296">
      <w:pPr>
        <w:pStyle w:val="BodyText"/>
      </w:pPr>
      <w:r>
        <w:t>We then post</w:t>
      </w:r>
      <w:r w:rsidR="00F81A0B">
        <w:t>-</w:t>
      </w:r>
      <w:r>
        <w:t xml:space="preserve">multiply the matrices we wish to convert </w:t>
      </w:r>
      <w:r w:rsidR="00D26966">
        <w:t>with the transformation matrix:</w:t>
      </w:r>
    </w:p>
    <w:p w:rsidR="00267FBD" w:rsidRDefault="00DD4EE5" w:rsidP="00146296">
      <w:pPr>
        <w:pStyle w:val="BodyText"/>
        <w:jc w:val="center"/>
      </w:pPr>
      <w:r>
        <w:rPr>
          <w:noProof/>
        </w:rPr>
        <w:drawing>
          <wp:inline distT="0" distB="0" distL="0" distR="0" wp14:anchorId="42501383" wp14:editId="15095EE9">
            <wp:extent cx="1476000" cy="342453"/>
            <wp:effectExtent l="0" t="0" r="0" b="635"/>
            <wp:docPr id="28" name="Picture 28" descr="\\s0429a\datashare\OCEA\Input-Output\Publication\2015 Publication (1998-2012 IO tables, ESA2010)\Maths_image_for_method_guide\S_equal_UT_and_E_equal_WT_part_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0429a\datashare\OCEA\Input-Output\Publication\2015 Publication (1998-2012 IO tables, ESA2010)\Maths_image_for_method_guide\S_equal_UT_and_E_equal_WT_part_II.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76000" cy="342453"/>
                    </a:xfrm>
                    <a:prstGeom prst="rect">
                      <a:avLst/>
                    </a:prstGeom>
                    <a:noFill/>
                    <a:ln>
                      <a:noFill/>
                    </a:ln>
                  </pic:spPr>
                </pic:pic>
              </a:graphicData>
            </a:graphic>
          </wp:inline>
        </w:drawing>
      </w:r>
    </w:p>
    <w:p w:rsidR="00267FBD" w:rsidRDefault="00267FBD" w:rsidP="00A03126">
      <w:pPr>
        <w:pStyle w:val="Heading3"/>
      </w:pPr>
      <w:bookmarkStart w:id="200" w:name="_Toc497137026"/>
      <w:r>
        <w:t xml:space="preserve">Hybrid technology </w:t>
      </w:r>
      <w:r w:rsidRPr="00A03126">
        <w:t>assumption</w:t>
      </w:r>
      <w:r w:rsidR="00D26966" w:rsidRPr="00A03126">
        <w:t>s</w:t>
      </w:r>
      <w:bookmarkEnd w:id="200"/>
    </w:p>
    <w:p w:rsidR="00267FBD" w:rsidRDefault="00267FBD" w:rsidP="00BD51FC">
      <w:pPr>
        <w:pStyle w:val="BodyText"/>
      </w:pPr>
      <w:r>
        <w:t>The UK and Scottish product by product tables are produced using a hybrid technology assumption which combines both the industry technology assumption and the</w:t>
      </w:r>
      <w:r w:rsidR="00D26966">
        <w:t xml:space="preserve"> product technology assumption.</w:t>
      </w:r>
    </w:p>
    <w:p w:rsidR="00267FBD" w:rsidRDefault="00267FBD" w:rsidP="00BD51FC">
      <w:pPr>
        <w:pStyle w:val="BodyText"/>
      </w:pPr>
      <w:r>
        <w:t>It begins by splitting the make matrix into two matrices; one containing the cells to be processed under a product technology assumption and one containing the cells to be processed under an industry technology assumption.  While in principle there is no reason why single cells cannot be split with one part being handled under an industry technology assumption and part handled under a product technology assumption, due to the absence of data needed to make this split the Scottish tables treat each cell as entirely one or the other</w:t>
      </w:r>
      <w:r w:rsidRPr="00B1639E">
        <w:t xml:space="preserve"> </w:t>
      </w:r>
      <w:r>
        <w:t>(Note that all diagonal cells in the make matrix must be assumed to use product technology).</w:t>
      </w:r>
    </w:p>
    <w:p w:rsidR="00267FBD" w:rsidRDefault="006221F1" w:rsidP="00BD51FC">
      <w:pPr>
        <w:pStyle w:val="BodyText"/>
        <w:spacing w:after="0"/>
      </w:pPr>
      <m:oMath>
        <m:sSub>
          <m:sSubPr>
            <m:ctrlPr>
              <w:rPr>
                <w:rFonts w:ascii="Cambria Math" w:hAnsi="Cambria Math"/>
                <w:b/>
              </w:rPr>
            </m:ctrlPr>
          </m:sSubPr>
          <m:e>
            <m:r>
              <m:rPr>
                <m:sty m:val="b"/>
              </m:rPr>
              <w:rPr>
                <w:rFonts w:ascii="Cambria Math" w:hAnsi="Cambria Math"/>
              </w:rPr>
              <m:t>V</m:t>
            </m:r>
          </m:e>
          <m:sub>
            <m:r>
              <m:rPr>
                <m:sty m:val="b"/>
              </m:rPr>
              <w:rPr>
                <w:rFonts w:ascii="Cambria Math" w:hAnsi="Cambria Math"/>
              </w:rPr>
              <m:t>1</m:t>
            </m:r>
          </m:sub>
        </m:sSub>
      </m:oMath>
      <w:r w:rsidR="00267FBD">
        <w:t>= Make matrix for product technology</w:t>
      </w:r>
    </w:p>
    <w:p w:rsidR="00267FBD" w:rsidRDefault="006221F1" w:rsidP="00BD51FC">
      <w:pPr>
        <w:pStyle w:val="BodyText"/>
        <w:spacing w:after="0"/>
      </w:pPr>
      <m:oMath>
        <m:sSub>
          <m:sSubPr>
            <m:ctrlPr>
              <w:rPr>
                <w:rFonts w:ascii="Cambria Math" w:hAnsi="Cambria Math"/>
                <w:b/>
              </w:rPr>
            </m:ctrlPr>
          </m:sSubPr>
          <m:e>
            <m:r>
              <m:rPr>
                <m:sty m:val="b"/>
              </m:rPr>
              <w:rPr>
                <w:rFonts w:ascii="Cambria Math" w:hAnsi="Cambria Math"/>
              </w:rPr>
              <m:t>V</m:t>
            </m:r>
          </m:e>
          <m:sub>
            <m:r>
              <m:rPr>
                <m:sty m:val="b"/>
              </m:rPr>
              <w:rPr>
                <w:rFonts w:ascii="Cambria Math" w:hAnsi="Cambria Math"/>
              </w:rPr>
              <m:t>2</m:t>
            </m:r>
          </m:sub>
        </m:sSub>
      </m:oMath>
      <w:r w:rsidR="00267FBD">
        <w:t xml:space="preserve"> = Make matrix for industry technology</w:t>
      </w:r>
    </w:p>
    <w:p w:rsidR="00267FBD" w:rsidRDefault="006221F1" w:rsidP="00BD51FC">
      <w:pPr>
        <w:pStyle w:val="BodyText"/>
        <w:spacing w:after="0"/>
      </w:pPr>
      <m:oMath>
        <m:sSub>
          <m:sSubPr>
            <m:ctrlPr>
              <w:rPr>
                <w:rFonts w:ascii="Cambria Math" w:hAnsi="Cambria Math"/>
                <w:b/>
              </w:rPr>
            </m:ctrlPr>
          </m:sSubPr>
          <m:e>
            <m:r>
              <m:rPr>
                <m:sty m:val="b"/>
              </m:rPr>
              <w:rPr>
                <w:rFonts w:ascii="Cambria Math" w:hAnsi="Cambria Math"/>
              </w:rPr>
              <m:t>g</m:t>
            </m:r>
          </m:e>
          <m:sub>
            <m:r>
              <m:rPr>
                <m:sty m:val="b"/>
              </m:rPr>
              <w:rPr>
                <w:rFonts w:ascii="Cambria Math" w:hAnsi="Cambria Math"/>
              </w:rPr>
              <m:t>1</m:t>
            </m:r>
          </m:sub>
        </m:sSub>
      </m:oMath>
      <w:r w:rsidR="00267FBD">
        <w:t>= vector of product technology output by industry</w:t>
      </w:r>
    </w:p>
    <w:p w:rsidR="00267FBD" w:rsidRDefault="006221F1" w:rsidP="00BD51FC">
      <w:pPr>
        <w:pStyle w:val="BodyText"/>
        <w:spacing w:after="0"/>
      </w:pPr>
      <m:oMath>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1</m:t>
            </m:r>
          </m:sub>
        </m:sSub>
      </m:oMath>
      <w:r w:rsidR="00267FBD">
        <w:t xml:space="preserve"> = vector of product technology output by product</w:t>
      </w:r>
    </w:p>
    <w:p w:rsidR="00267FBD" w:rsidRDefault="006221F1" w:rsidP="00BD51FC">
      <w:pPr>
        <w:pStyle w:val="BodyText"/>
        <w:spacing w:after="0"/>
      </w:pPr>
      <m:oMath>
        <m:sSub>
          <m:sSubPr>
            <m:ctrlPr>
              <w:rPr>
                <w:rFonts w:ascii="Cambria Math" w:hAnsi="Cambria Math"/>
                <w:b/>
              </w:rPr>
            </m:ctrlPr>
          </m:sSubPr>
          <m:e>
            <m:r>
              <m:rPr>
                <m:sty m:val="b"/>
              </m:rPr>
              <w:rPr>
                <w:rFonts w:ascii="Cambria Math" w:hAnsi="Cambria Math"/>
              </w:rPr>
              <m:t>g</m:t>
            </m:r>
          </m:e>
          <m:sub>
            <m:r>
              <m:rPr>
                <m:sty m:val="b"/>
              </m:rPr>
              <w:rPr>
                <w:rFonts w:ascii="Cambria Math" w:hAnsi="Cambria Math"/>
              </w:rPr>
              <m:t>2</m:t>
            </m:r>
          </m:sub>
        </m:sSub>
      </m:oMath>
      <w:r w:rsidR="00267FBD">
        <w:t xml:space="preserve"> = vector of industry technology output by industry</w:t>
      </w:r>
    </w:p>
    <w:p w:rsidR="00267FBD" w:rsidRDefault="006221F1" w:rsidP="00BD51FC">
      <w:pPr>
        <w:pStyle w:val="BodyText"/>
        <w:spacing w:after="0"/>
      </w:pPr>
      <m:oMath>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2</m:t>
            </m:r>
          </m:sub>
        </m:sSub>
      </m:oMath>
      <w:r w:rsidR="00267FBD">
        <w:t>= vector of industry technology output by product</w:t>
      </w:r>
    </w:p>
    <w:p w:rsidR="00267FBD" w:rsidRDefault="00267FBD" w:rsidP="00BD51FC">
      <w:pPr>
        <w:pStyle w:val="BodyText"/>
      </w:pPr>
    </w:p>
    <w:p w:rsidR="00267FBD" w:rsidRDefault="00C9426B" w:rsidP="00BD51FC">
      <w:pPr>
        <w:pStyle w:val="BodyText"/>
      </w:pPr>
      <w:r>
        <w:t>Analogous to the pure product technology model, the transformation matrix for product technology is constructed as</w:t>
      </w:r>
    </w:p>
    <w:p w:rsidR="006E563D" w:rsidRDefault="006E563D" w:rsidP="0037611B">
      <w:pPr>
        <w:pStyle w:val="BodyText"/>
        <w:jc w:val="center"/>
      </w:pPr>
      <w:r>
        <w:rPr>
          <w:noProof/>
        </w:rPr>
        <w:drawing>
          <wp:inline distT="0" distB="0" distL="0" distR="0" wp14:anchorId="238ACDB7" wp14:editId="1F029A62">
            <wp:extent cx="1116000" cy="185923"/>
            <wp:effectExtent l="0" t="0" r="0" b="5080"/>
            <wp:docPr id="3" name="Picture 3" descr="\\s0429a\datashare\OCEA\Input-Output\Publication\2015 Publication (1998-2012 IO tables, ESA2010)\Maths_image_for_method_guide\T_PTA_equal_V_1_transpose_power_minus_1_hat_q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0429a\datashare\OCEA\Input-Output\Publication\2015 Publication (1998-2012 IO tables, ESA2010)\Maths_image_for_method_guide\T_PTA_equal_V_1_transpose_power_minus_1_hat_q_1.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16000" cy="185923"/>
                    </a:xfrm>
                    <a:prstGeom prst="rect">
                      <a:avLst/>
                    </a:prstGeom>
                    <a:noFill/>
                    <a:ln>
                      <a:noFill/>
                    </a:ln>
                  </pic:spPr>
                </pic:pic>
              </a:graphicData>
            </a:graphic>
          </wp:inline>
        </w:drawing>
      </w:r>
    </w:p>
    <w:p w:rsidR="00226D77" w:rsidRDefault="00C9426B" w:rsidP="00BD51FC">
      <w:pPr>
        <w:pStyle w:val="BodyText"/>
      </w:pPr>
      <w:r>
        <w:t xml:space="preserve">where </w:t>
      </w:r>
      <m:oMath>
        <m:sSub>
          <m:sSubPr>
            <m:ctrlPr>
              <w:rPr>
                <w:rFonts w:ascii="Cambria Math" w:hAnsi="Cambria Math"/>
                <w:b/>
              </w:rPr>
            </m:ctrlPr>
          </m:sSubPr>
          <m:e>
            <m:r>
              <m:rPr>
                <m:sty m:val="b"/>
              </m:rPr>
              <w:rPr>
                <w:rFonts w:ascii="Cambria Math" w:hAnsi="Cambria Math"/>
              </w:rPr>
              <m:t>q</m:t>
            </m:r>
          </m:e>
          <m:sub>
            <m:r>
              <m:rPr>
                <m:sty m:val="bi"/>
              </m:rPr>
              <w:rPr>
                <w:rFonts w:ascii="Cambria Math" w:hAnsi="Cambria Math"/>
              </w:rPr>
              <m:t>1</m:t>
            </m:r>
          </m:sub>
        </m:sSub>
      </m:oMath>
      <w:r>
        <w:t xml:space="preserve"> is the vector of column sums of </w:t>
      </w:r>
      <m:oMath>
        <m:sSub>
          <m:sSubPr>
            <m:ctrlPr>
              <w:rPr>
                <w:rFonts w:ascii="Cambria Math" w:hAnsi="Cambria Math"/>
                <w:b/>
              </w:rPr>
            </m:ctrlPr>
          </m:sSubPr>
          <m:e>
            <m:r>
              <m:rPr>
                <m:sty m:val="b"/>
              </m:rPr>
              <w:rPr>
                <w:rFonts w:ascii="Cambria Math" w:hAnsi="Cambria Math"/>
              </w:rPr>
              <m:t>V</m:t>
            </m:r>
          </m:e>
          <m:sub>
            <m:r>
              <m:rPr>
                <m:sty m:val="b"/>
              </m:rPr>
              <w:rPr>
                <w:rFonts w:ascii="Cambria Math" w:hAnsi="Cambria Math"/>
              </w:rPr>
              <m:t>1</m:t>
            </m:r>
          </m:sub>
        </m:sSub>
      </m:oMath>
      <w:r>
        <w:t xml:space="preserve"> (i.e. the total product technology output of each product). And similarly for the transformation matrix for industry technology</w:t>
      </w:r>
      <w:r w:rsidR="00226D77">
        <w:t xml:space="preserve"> </w:t>
      </w:r>
      <w:r w:rsidR="003E1287">
        <w:rPr>
          <w:rStyle w:val="FootnoteReference"/>
        </w:rPr>
        <w:footnoteReference w:id="22"/>
      </w:r>
      <w:r w:rsidR="00226D77">
        <w:t>:</w:t>
      </w:r>
    </w:p>
    <w:p w:rsidR="00E20012" w:rsidRDefault="00E20012" w:rsidP="00BD51FC">
      <w:pPr>
        <w:pStyle w:val="BodyText"/>
        <w:jc w:val="center"/>
      </w:pPr>
      <w:r>
        <w:rPr>
          <w:noProof/>
        </w:rPr>
        <w:drawing>
          <wp:inline distT="0" distB="0" distL="0" distR="0" wp14:anchorId="41E95E38" wp14:editId="30D06229">
            <wp:extent cx="900000" cy="172640"/>
            <wp:effectExtent l="0" t="0" r="0" b="0"/>
            <wp:docPr id="15" name="Picture 15" descr="\\s0429a\datashare\OCEA\Input-Output\Publication\2015 Publication (1998-2012 IO tables, ESA2010)\Maths_image_for_method_guide\T_ITA_equal_hat_g_2_power_minus_1_V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0429a\datashare\OCEA\Input-Output\Publication\2015 Publication (1998-2012 IO tables, ESA2010)\Maths_image_for_method_guide\T_ITA_equal_hat_g_2_power_minus_1_V_2.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00000" cy="172640"/>
                    </a:xfrm>
                    <a:prstGeom prst="rect">
                      <a:avLst/>
                    </a:prstGeom>
                    <a:noFill/>
                    <a:ln>
                      <a:noFill/>
                    </a:ln>
                  </pic:spPr>
                </pic:pic>
              </a:graphicData>
            </a:graphic>
          </wp:inline>
        </w:drawing>
      </w:r>
    </w:p>
    <w:p w:rsidR="00226D77" w:rsidRDefault="00226D77" w:rsidP="00226D77">
      <w:pPr>
        <w:pStyle w:val="BodyText"/>
      </w:pPr>
      <w:r>
        <w:t xml:space="preserve">where </w:t>
      </w:r>
      <m:oMath>
        <m:sSub>
          <m:sSubPr>
            <m:ctrlPr>
              <w:rPr>
                <w:rFonts w:ascii="Cambria Math" w:hAnsi="Cambria Math"/>
                <w:b/>
              </w:rPr>
            </m:ctrlPr>
          </m:sSubPr>
          <m:e>
            <m:r>
              <m:rPr>
                <m:sty m:val="b"/>
              </m:rPr>
              <w:rPr>
                <w:rFonts w:ascii="Cambria Math" w:hAnsi="Cambria Math"/>
              </w:rPr>
              <m:t>g</m:t>
            </m:r>
          </m:e>
          <m:sub>
            <m:r>
              <m:rPr>
                <m:sty m:val="b"/>
              </m:rPr>
              <w:rPr>
                <w:rFonts w:ascii="Cambria Math" w:hAnsi="Cambria Math"/>
              </w:rPr>
              <m:t>2</m:t>
            </m:r>
          </m:sub>
        </m:sSub>
      </m:oMath>
      <w:r>
        <w:t xml:space="preserve"> is the vector of row sums of </w:t>
      </w:r>
      <m:oMath>
        <m:sSub>
          <m:sSubPr>
            <m:ctrlPr>
              <w:rPr>
                <w:rFonts w:ascii="Cambria Math" w:hAnsi="Cambria Math"/>
                <w:b/>
              </w:rPr>
            </m:ctrlPr>
          </m:sSubPr>
          <m:e>
            <m:r>
              <m:rPr>
                <m:sty m:val="b"/>
              </m:rPr>
              <w:rPr>
                <w:rFonts w:ascii="Cambria Math" w:hAnsi="Cambria Math"/>
              </w:rPr>
              <m:t>V</m:t>
            </m:r>
          </m:e>
          <m:sub>
            <m:r>
              <m:rPr>
                <m:sty m:val="b"/>
              </m:rPr>
              <w:rPr>
                <w:rFonts w:ascii="Cambria Math" w:hAnsi="Cambria Math"/>
              </w:rPr>
              <m:t>2</m:t>
            </m:r>
          </m:sub>
        </m:sSub>
      </m:oMath>
      <w:r>
        <w:t xml:space="preserve"> (i.e. the total industry technology output by each industry).</w:t>
      </w:r>
      <w:r w:rsidR="00BC3B0B">
        <w:t xml:space="preserve"> The rows of the two transformation matrices are then weighted together by output share to form the hybrid transformation matrix:</w:t>
      </w:r>
    </w:p>
    <w:p w:rsidR="00EE5FF2" w:rsidRPr="00A03126" w:rsidRDefault="00EE5FF2" w:rsidP="00A03126">
      <w:pPr>
        <w:pStyle w:val="BodyText"/>
        <w:jc w:val="center"/>
      </w:pPr>
      <w:r>
        <w:rPr>
          <w:noProof/>
        </w:rPr>
        <w:lastRenderedPageBreak/>
        <w:drawing>
          <wp:inline distT="0" distB="0" distL="0" distR="0" wp14:anchorId="4552943D" wp14:editId="0C0DBDBB">
            <wp:extent cx="2232000" cy="388957"/>
            <wp:effectExtent l="0" t="0" r="0" b="0"/>
            <wp:docPr id="53" name="Picture 53" descr="\\s0429a\datashare\OCEA\Input-Output\Publication\2015 Publication (1998-2012 IO tables, ESA2010)\Maths_image_for_method_guide\T_H_equal_frac_g1_g_T_PTA_plus_frac_g-g_1_g_T_I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0429a\datashare\OCEA\Input-Output\Publication\2015 Publication (1998-2012 IO tables, ESA2010)\Maths_image_for_method_guide\T_H_equal_frac_g1_g_T_PTA_plus_frac_g-g_1_g_T_ITA.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32000" cy="388957"/>
                    </a:xfrm>
                    <a:prstGeom prst="rect">
                      <a:avLst/>
                    </a:prstGeom>
                    <a:noFill/>
                    <a:ln>
                      <a:noFill/>
                    </a:ln>
                  </pic:spPr>
                </pic:pic>
              </a:graphicData>
            </a:graphic>
          </wp:inline>
        </w:drawing>
      </w:r>
    </w:p>
    <w:p w:rsidR="00267FBD" w:rsidRDefault="00267FBD" w:rsidP="00BD51FC">
      <w:pPr>
        <w:pStyle w:val="BodyText"/>
      </w:pPr>
      <w:r>
        <w:t xml:space="preserve">where </w:t>
      </w:r>
      <m:oMath>
        <m:f>
          <m:fPr>
            <m:type m:val="skw"/>
            <m:ctrlPr>
              <w:rPr>
                <w:rFonts w:ascii="Cambria Math" w:hAnsi="Cambria Math"/>
                <w:i/>
              </w:rPr>
            </m:ctrlPr>
          </m:fPr>
          <m:num>
            <m:sSub>
              <m:sSubPr>
                <m:ctrlPr>
                  <w:rPr>
                    <w:rFonts w:ascii="Cambria Math" w:hAnsi="Cambria Math"/>
                    <w:b/>
                  </w:rPr>
                </m:ctrlPr>
              </m:sSubPr>
              <m:e>
                <m:r>
                  <m:rPr>
                    <m:sty m:val="b"/>
                  </m:rPr>
                  <w:rPr>
                    <w:rFonts w:ascii="Cambria Math" w:hAnsi="Cambria Math"/>
                  </w:rPr>
                  <m:t>g</m:t>
                </m:r>
              </m:e>
              <m:sub>
                <m:r>
                  <m:rPr>
                    <m:sty m:val="b"/>
                  </m:rPr>
                  <w:rPr>
                    <w:rFonts w:ascii="Cambria Math" w:hAnsi="Cambria Math"/>
                  </w:rPr>
                  <m:t>1</m:t>
                </m:r>
              </m:sub>
            </m:sSub>
          </m:num>
          <m:den>
            <m:r>
              <m:rPr>
                <m:sty m:val="b"/>
              </m:rPr>
              <w:rPr>
                <w:rFonts w:ascii="Cambria Math" w:hAnsi="Cambria Math"/>
              </w:rPr>
              <m:t>g</m:t>
            </m:r>
          </m:den>
        </m:f>
        <m:r>
          <w:rPr>
            <w:rFonts w:ascii="Cambria Math" w:hAnsi="Cambria Math"/>
          </w:rPr>
          <m:t xml:space="preserve"> </m:t>
        </m:r>
      </m:oMath>
      <w:r>
        <w:t xml:space="preserve">represents the element-wise division of </w:t>
      </w:r>
      <m:oMath>
        <m:sSub>
          <m:sSubPr>
            <m:ctrlPr>
              <w:rPr>
                <w:rFonts w:ascii="Cambria Math" w:hAnsi="Cambria Math"/>
                <w:b/>
              </w:rPr>
            </m:ctrlPr>
          </m:sSubPr>
          <m:e>
            <m:r>
              <m:rPr>
                <m:sty m:val="b"/>
              </m:rPr>
              <w:rPr>
                <w:rFonts w:ascii="Cambria Math" w:hAnsi="Cambria Math"/>
              </w:rPr>
              <m:t>g</m:t>
            </m:r>
          </m:e>
          <m:sub>
            <m:r>
              <m:rPr>
                <m:sty m:val="b"/>
              </m:rPr>
              <w:rPr>
                <w:rFonts w:ascii="Cambria Math" w:hAnsi="Cambria Math"/>
              </w:rPr>
              <m:t>1</m:t>
            </m:r>
          </m:sub>
        </m:sSub>
      </m:oMath>
      <w:r>
        <w:t xml:space="preserve"> by </w:t>
      </w:r>
      <m:oMath>
        <m:r>
          <m:rPr>
            <m:sty m:val="b"/>
          </m:rPr>
          <w:rPr>
            <w:rFonts w:ascii="Cambria Math" w:hAnsi="Cambria Math"/>
          </w:rPr>
          <m:t>g</m:t>
        </m:r>
      </m:oMath>
      <w:r>
        <w:t xml:space="preserve"> (i.e.</w:t>
      </w:r>
      <w:r w:rsidR="005E3D22">
        <w:t xml:space="preserve"> </w:t>
      </w:r>
      <m:oMath>
        <m:acc>
          <m:accPr>
            <m:ctrlPr>
              <w:rPr>
                <w:rFonts w:ascii="Cambria Math" w:hAnsi="Cambria Math"/>
                <w:b/>
              </w:rPr>
            </m:ctrlPr>
          </m:accPr>
          <m:e>
            <m:sSub>
              <m:sSubPr>
                <m:ctrlPr>
                  <w:rPr>
                    <w:rFonts w:ascii="Cambria Math" w:hAnsi="Cambria Math"/>
                    <w:b/>
                  </w:rPr>
                </m:ctrlPr>
              </m:sSubPr>
              <m:e>
                <m:r>
                  <m:rPr>
                    <m:sty m:val="b"/>
                  </m:rPr>
                  <w:rPr>
                    <w:rFonts w:ascii="Cambria Math" w:hAnsi="Cambria Math"/>
                  </w:rPr>
                  <m:t>g</m:t>
                </m:r>
              </m:e>
              <m:sub>
                <m:r>
                  <m:rPr>
                    <m:sty m:val="b"/>
                  </m:rPr>
                  <w:rPr>
                    <w:rFonts w:ascii="Cambria Math" w:hAnsi="Cambria Math"/>
                  </w:rPr>
                  <m:t>1</m:t>
                </m:r>
              </m:sub>
            </m:sSub>
          </m:e>
        </m:acc>
        <m:sSup>
          <m:sSupPr>
            <m:ctrlPr>
              <w:rPr>
                <w:rFonts w:ascii="Cambria Math" w:hAnsi="Cambria Math"/>
                <w:b/>
              </w:rPr>
            </m:ctrlPr>
          </m:sSupPr>
          <m:e>
            <m:acc>
              <m:accPr>
                <m:ctrlPr>
                  <w:rPr>
                    <w:rFonts w:ascii="Cambria Math" w:hAnsi="Cambria Math"/>
                    <w:b/>
                  </w:rPr>
                </m:ctrlPr>
              </m:accPr>
              <m:e>
                <m:r>
                  <m:rPr>
                    <m:sty m:val="b"/>
                  </m:rPr>
                  <w:rPr>
                    <w:rFonts w:ascii="Cambria Math" w:hAnsi="Cambria Math"/>
                  </w:rPr>
                  <m:t xml:space="preserve"> g</m:t>
                </m:r>
              </m:e>
            </m:acc>
          </m:e>
          <m:sup>
            <m:r>
              <m:rPr>
                <m:sty m:val="b"/>
              </m:rPr>
              <w:rPr>
                <w:rFonts w:ascii="Cambria Math" w:hAnsi="Cambria Math"/>
              </w:rPr>
              <m:t>-1</m:t>
            </m:r>
          </m:sup>
        </m:sSup>
      </m:oMath>
      <w:r w:rsidR="00D26966">
        <w:t>). Then we have</w:t>
      </w:r>
    </w:p>
    <w:p w:rsidR="00942ADE" w:rsidRDefault="00AD1313" w:rsidP="00BD51FC">
      <w:pPr>
        <w:pStyle w:val="BodyText"/>
        <w:jc w:val="center"/>
      </w:pPr>
      <w:r>
        <w:rPr>
          <w:noProof/>
        </w:rPr>
        <w:drawing>
          <wp:inline distT="0" distB="0" distL="0" distR="0" wp14:anchorId="154788D5" wp14:editId="74591D8E">
            <wp:extent cx="1296000" cy="123066"/>
            <wp:effectExtent l="0" t="0" r="0" b="0"/>
            <wp:docPr id="2" name="Picture 2" descr="\\s0429a\datashare\OCEA\Input-Output\Publication\2015 Publication (1998-2012 IO tables, ESA2010)\Maths_image_for_method_guide\S_equal_UTH_and_E_equal_W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429a\datashare\OCEA\Input-Output\Publication\2015 Publication (1998-2012 IO tables, ESA2010)\Maths_image_for_method_guide\S_equal_UTH_and_E_equal_WTH.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96000" cy="123066"/>
                    </a:xfrm>
                    <a:prstGeom prst="rect">
                      <a:avLst/>
                    </a:prstGeom>
                    <a:noFill/>
                    <a:ln>
                      <a:noFill/>
                    </a:ln>
                  </pic:spPr>
                </pic:pic>
              </a:graphicData>
            </a:graphic>
          </wp:inline>
        </w:drawing>
      </w:r>
    </w:p>
    <w:p w:rsidR="00267FBD" w:rsidRDefault="00267FBD" w:rsidP="00BD51FC">
      <w:pPr>
        <w:pStyle w:val="BodyText"/>
      </w:pPr>
      <w:r>
        <w:t>as before.</w:t>
      </w:r>
    </w:p>
    <w:p w:rsidR="00304A61" w:rsidRPr="008352B7" w:rsidRDefault="00304A61" w:rsidP="00BD51FC">
      <w:pPr>
        <w:pStyle w:val="Heading2"/>
      </w:pPr>
      <w:r>
        <w:br w:type="page"/>
      </w:r>
      <w:bookmarkStart w:id="201" w:name="_Toc290646661"/>
      <w:bookmarkStart w:id="202" w:name="_Toc290647191"/>
      <w:bookmarkStart w:id="203" w:name="_Toc290647238"/>
      <w:bookmarkStart w:id="204" w:name="_Toc292468971"/>
      <w:bookmarkStart w:id="205" w:name="_Toc497137027"/>
      <w:r>
        <w:lastRenderedPageBreak/>
        <w:t>Derivation of Leontief inverse matrices (type I and type II</w:t>
      </w:r>
      <w:r w:rsidRPr="008352B7">
        <w:t>)</w:t>
      </w:r>
      <w:bookmarkEnd w:id="201"/>
      <w:bookmarkEnd w:id="202"/>
      <w:bookmarkEnd w:id="203"/>
      <w:bookmarkEnd w:id="204"/>
      <w:bookmarkEnd w:id="205"/>
    </w:p>
    <w:p w:rsidR="00304A61" w:rsidRDefault="00304A61" w:rsidP="00304A61">
      <w:pPr>
        <w:pStyle w:val="Heading3"/>
      </w:pPr>
      <w:bookmarkStart w:id="206" w:name="_Toc290646662"/>
      <w:bookmarkStart w:id="207" w:name="_Toc290647192"/>
      <w:bookmarkStart w:id="208" w:name="_Toc290647239"/>
      <w:bookmarkStart w:id="209" w:name="_Toc292468972"/>
      <w:bookmarkStart w:id="210" w:name="_Toc497137028"/>
      <w:r>
        <w:t>Leontief type I</w:t>
      </w:r>
      <w:bookmarkEnd w:id="206"/>
      <w:bookmarkEnd w:id="207"/>
      <w:bookmarkEnd w:id="208"/>
      <w:bookmarkEnd w:id="209"/>
      <w:bookmarkEnd w:id="210"/>
    </w:p>
    <w:p w:rsidR="00304A61" w:rsidRPr="008352B7" w:rsidRDefault="00304A61" w:rsidP="00CE11E2">
      <w:pPr>
        <w:pStyle w:val="BodyText"/>
      </w:pPr>
      <w:r w:rsidRPr="008352B7">
        <w:t>The Leontief inverse matrices are derived from the industry-by-industry matrix and show how much of each industry’s output is needed, in terms of direct, indirect and, in type II matrices, induced requirements, to produce one unit of a given industry’s output. The formula for the type I Leontief is as follows:</w:t>
      </w:r>
    </w:p>
    <w:tbl>
      <w:tblPr>
        <w:tblW w:w="8505"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567"/>
        <w:gridCol w:w="6237"/>
      </w:tblGrid>
      <w:tr w:rsidR="00304A61" w:rsidRPr="008352B7" w:rsidTr="00304A61">
        <w:trPr>
          <w:cantSplit/>
        </w:trPr>
        <w:tc>
          <w:tcPr>
            <w:tcW w:w="1701" w:type="dxa"/>
            <w:vMerge w:val="restart"/>
          </w:tcPr>
          <w:p w:rsidR="00304A61" w:rsidRPr="008352B7" w:rsidRDefault="00ED640C" w:rsidP="00A21D17">
            <w:pPr>
              <w:tabs>
                <w:tab w:val="left" w:pos="5954"/>
              </w:tabs>
              <w:jc w:val="center"/>
              <w:rPr>
                <w:rFonts w:cs="Arial"/>
              </w:rPr>
            </w:pPr>
            <w:r w:rsidRPr="00EF0E0F">
              <w:rPr>
                <w:rFonts w:cs="Arial"/>
                <w:noProof/>
              </w:rPr>
              <w:drawing>
                <wp:anchor distT="0" distB="0" distL="114300" distR="114300" simplePos="0" relativeHeight="251678208" behindDoc="0" locked="0" layoutInCell="1" allowOverlap="1">
                  <wp:simplePos x="0" y="0"/>
                  <wp:positionH relativeFrom="column">
                    <wp:posOffset>11322</wp:posOffset>
                  </wp:positionH>
                  <wp:positionV relativeFrom="paragraph">
                    <wp:posOffset>36195</wp:posOffset>
                  </wp:positionV>
                  <wp:extent cx="903600" cy="219600"/>
                  <wp:effectExtent l="0" t="0" r="0" b="9525"/>
                  <wp:wrapNone/>
                  <wp:docPr id="14" name="Picture 14" descr="Leontief_typ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eontief_type_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03600" cy="219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04" w:type="dxa"/>
            <w:gridSpan w:val="2"/>
            <w:vAlign w:val="center"/>
          </w:tcPr>
          <w:p w:rsidR="00304A61" w:rsidRDefault="00304A61" w:rsidP="00DD6F30">
            <w:pPr>
              <w:tabs>
                <w:tab w:val="left" w:pos="5954"/>
              </w:tabs>
              <w:spacing w:before="120"/>
              <w:rPr>
                <w:rFonts w:cs="Arial"/>
              </w:rPr>
            </w:pPr>
            <w:r w:rsidRPr="008352B7">
              <w:rPr>
                <w:rFonts w:cs="Arial"/>
              </w:rPr>
              <w:t>Where:</w:t>
            </w:r>
          </w:p>
          <w:p w:rsidR="00DD6F30" w:rsidRPr="008352B7" w:rsidRDefault="00DD6F30" w:rsidP="00304A61">
            <w:pPr>
              <w:tabs>
                <w:tab w:val="left" w:pos="5954"/>
              </w:tabs>
              <w:rPr>
                <w:rFonts w:cs="Arial"/>
              </w:rPr>
            </w:pPr>
          </w:p>
        </w:tc>
      </w:tr>
      <w:tr w:rsidR="00304A61" w:rsidRPr="008352B7" w:rsidTr="00304A61">
        <w:trPr>
          <w:cantSplit/>
        </w:trPr>
        <w:tc>
          <w:tcPr>
            <w:tcW w:w="1701" w:type="dxa"/>
            <w:vMerge/>
          </w:tcPr>
          <w:p w:rsidR="00304A61" w:rsidRPr="008352B7" w:rsidRDefault="00304A61" w:rsidP="00304A61">
            <w:pPr>
              <w:tabs>
                <w:tab w:val="left" w:pos="5954"/>
              </w:tabs>
              <w:rPr>
                <w:rFonts w:cs="Arial"/>
              </w:rPr>
            </w:pPr>
          </w:p>
        </w:tc>
        <w:tc>
          <w:tcPr>
            <w:tcW w:w="567" w:type="dxa"/>
            <w:vAlign w:val="center"/>
          </w:tcPr>
          <w:p w:rsidR="00304A61" w:rsidRPr="008352B7" w:rsidRDefault="00304A61" w:rsidP="00304A61">
            <w:pPr>
              <w:tabs>
                <w:tab w:val="left" w:pos="5954"/>
              </w:tabs>
              <w:rPr>
                <w:rFonts w:cs="Arial"/>
              </w:rPr>
            </w:pPr>
            <w:r w:rsidRPr="00A21D17">
              <w:rPr>
                <w:rFonts w:cs="Arial"/>
                <w:b/>
              </w:rPr>
              <w:t>L</w:t>
            </w:r>
            <w:r w:rsidRPr="008352B7">
              <w:rPr>
                <w:rFonts w:cs="Arial"/>
              </w:rPr>
              <w:t xml:space="preserve"> =</w:t>
            </w:r>
          </w:p>
        </w:tc>
        <w:tc>
          <w:tcPr>
            <w:tcW w:w="6237" w:type="dxa"/>
            <w:vAlign w:val="center"/>
          </w:tcPr>
          <w:p w:rsidR="00304A61" w:rsidRPr="008352B7" w:rsidRDefault="00304A61" w:rsidP="00304A61">
            <w:pPr>
              <w:tabs>
                <w:tab w:val="left" w:pos="5954"/>
              </w:tabs>
              <w:rPr>
                <w:rFonts w:cs="Arial"/>
              </w:rPr>
            </w:pPr>
            <w:r w:rsidRPr="008352B7">
              <w:rPr>
                <w:rFonts w:cs="Arial"/>
              </w:rPr>
              <w:t>Leontief Inverse matrix</w:t>
            </w:r>
          </w:p>
        </w:tc>
      </w:tr>
      <w:tr w:rsidR="00304A61" w:rsidRPr="008352B7" w:rsidTr="00304A61">
        <w:trPr>
          <w:cantSplit/>
        </w:trPr>
        <w:tc>
          <w:tcPr>
            <w:tcW w:w="1701" w:type="dxa"/>
            <w:vMerge/>
          </w:tcPr>
          <w:p w:rsidR="00304A61" w:rsidRPr="008352B7" w:rsidRDefault="00304A61" w:rsidP="00304A61">
            <w:pPr>
              <w:tabs>
                <w:tab w:val="left" w:pos="5954"/>
              </w:tabs>
              <w:rPr>
                <w:rFonts w:cs="Arial"/>
              </w:rPr>
            </w:pPr>
          </w:p>
        </w:tc>
        <w:tc>
          <w:tcPr>
            <w:tcW w:w="567" w:type="dxa"/>
            <w:vAlign w:val="center"/>
          </w:tcPr>
          <w:p w:rsidR="00304A61" w:rsidRPr="008352B7" w:rsidRDefault="00304A61" w:rsidP="0035692F">
            <w:pPr>
              <w:tabs>
                <w:tab w:val="left" w:pos="5954"/>
              </w:tabs>
              <w:rPr>
                <w:rFonts w:cs="Arial"/>
              </w:rPr>
            </w:pPr>
            <w:r w:rsidRPr="00A21D17">
              <w:rPr>
                <w:rFonts w:cs="Arial"/>
                <w:b/>
              </w:rPr>
              <w:t>I</w:t>
            </w:r>
            <w:r w:rsidR="00920617">
              <w:rPr>
                <w:rFonts w:cs="Arial"/>
              </w:rPr>
              <w:t xml:space="preserve">  </w:t>
            </w:r>
            <w:r w:rsidRPr="008352B7">
              <w:rPr>
                <w:rFonts w:cs="Arial"/>
              </w:rPr>
              <w:t>=</w:t>
            </w:r>
          </w:p>
        </w:tc>
        <w:tc>
          <w:tcPr>
            <w:tcW w:w="6237" w:type="dxa"/>
            <w:vAlign w:val="center"/>
          </w:tcPr>
          <w:p w:rsidR="00304A61" w:rsidRPr="008352B7" w:rsidRDefault="00304A61" w:rsidP="00304A61">
            <w:pPr>
              <w:tabs>
                <w:tab w:val="left" w:pos="5954"/>
              </w:tabs>
              <w:rPr>
                <w:rFonts w:cs="Arial"/>
              </w:rPr>
            </w:pPr>
            <w:r w:rsidRPr="008352B7">
              <w:rPr>
                <w:rFonts w:cs="Arial"/>
              </w:rPr>
              <w:t>Identity matrix</w:t>
            </w:r>
          </w:p>
        </w:tc>
      </w:tr>
      <w:tr w:rsidR="00304A61" w:rsidRPr="008352B7" w:rsidTr="00304A61">
        <w:trPr>
          <w:cantSplit/>
        </w:trPr>
        <w:tc>
          <w:tcPr>
            <w:tcW w:w="1701" w:type="dxa"/>
            <w:vMerge/>
          </w:tcPr>
          <w:p w:rsidR="00304A61" w:rsidRPr="008352B7" w:rsidRDefault="00304A61" w:rsidP="00304A61">
            <w:pPr>
              <w:tabs>
                <w:tab w:val="left" w:pos="5954"/>
              </w:tabs>
              <w:rPr>
                <w:rFonts w:cs="Arial"/>
              </w:rPr>
            </w:pPr>
          </w:p>
        </w:tc>
        <w:tc>
          <w:tcPr>
            <w:tcW w:w="567" w:type="dxa"/>
            <w:vAlign w:val="center"/>
          </w:tcPr>
          <w:p w:rsidR="00304A61" w:rsidRPr="008352B7" w:rsidRDefault="00304A61" w:rsidP="00304A61">
            <w:pPr>
              <w:tabs>
                <w:tab w:val="left" w:pos="5954"/>
              </w:tabs>
              <w:rPr>
                <w:rFonts w:cs="Arial"/>
              </w:rPr>
            </w:pPr>
            <w:r w:rsidRPr="00A21D17">
              <w:rPr>
                <w:rFonts w:cs="Arial"/>
                <w:b/>
              </w:rPr>
              <w:t>A</w:t>
            </w:r>
            <w:r w:rsidRPr="008352B7">
              <w:rPr>
                <w:rFonts w:cs="Arial"/>
              </w:rPr>
              <w:t xml:space="preserve"> =</w:t>
            </w:r>
          </w:p>
        </w:tc>
        <w:tc>
          <w:tcPr>
            <w:tcW w:w="6237" w:type="dxa"/>
            <w:vAlign w:val="center"/>
          </w:tcPr>
          <w:p w:rsidR="00304A61" w:rsidRPr="008352B7" w:rsidRDefault="00304A61" w:rsidP="00304A61">
            <w:pPr>
              <w:tabs>
                <w:tab w:val="left" w:pos="5954"/>
              </w:tabs>
              <w:rPr>
                <w:rFonts w:cs="Arial"/>
              </w:rPr>
            </w:pPr>
            <w:r w:rsidRPr="008352B7">
              <w:rPr>
                <w:rFonts w:cs="Arial"/>
              </w:rPr>
              <w:t>Direct requirements matrix – each cell of the IxI matrix divided by its column total.</w:t>
            </w:r>
          </w:p>
        </w:tc>
      </w:tr>
    </w:tbl>
    <w:p w:rsidR="00304A61" w:rsidRDefault="00304A61" w:rsidP="00CE11E2">
      <w:pPr>
        <w:pStyle w:val="BodyText"/>
      </w:pPr>
    </w:p>
    <w:p w:rsidR="00304A61" w:rsidRPr="008352B7" w:rsidRDefault="00304A61" w:rsidP="00CE11E2">
      <w:pPr>
        <w:pStyle w:val="BodyText"/>
      </w:pPr>
      <w:r>
        <w:t xml:space="preserve">As an example, aggregate </w:t>
      </w:r>
      <w:r w:rsidR="00397266">
        <w:t>t</w:t>
      </w:r>
      <w:r>
        <w:t>ype I</w:t>
      </w:r>
      <w:r w:rsidRPr="008352B7">
        <w:t xml:space="preserve"> </w:t>
      </w:r>
      <w:r>
        <w:t xml:space="preserve">and type II Leontief tables </w:t>
      </w:r>
      <w:r w:rsidRPr="008352B7">
        <w:t xml:space="preserve">will be constructed based upon the aggregate IxI </w:t>
      </w:r>
      <w:r>
        <w:t>table</w:t>
      </w:r>
      <w:r w:rsidRPr="008352B7">
        <w:t xml:space="preserve"> from the </w:t>
      </w:r>
      <w:r w:rsidR="0099101A">
        <w:t>201</w:t>
      </w:r>
      <w:r w:rsidR="00DF15C4">
        <w:t>4</w:t>
      </w:r>
      <w:r>
        <w:t xml:space="preserve"> IO table</w:t>
      </w:r>
      <w:r w:rsidRPr="008352B7">
        <w:t>. Unlike the publi</w:t>
      </w:r>
      <w:r>
        <w:t>shed aggregate tables</w:t>
      </w:r>
      <w:r w:rsidRPr="008352B7">
        <w:t xml:space="preserve">, the </w:t>
      </w:r>
      <w:r>
        <w:t xml:space="preserve">IxI </w:t>
      </w:r>
      <w:r w:rsidRPr="008352B7">
        <w:t>tab</w:t>
      </w:r>
      <w:r>
        <w:t>le separately identifies h</w:t>
      </w:r>
      <w:r w:rsidRPr="008352B7">
        <w:t>ousehold expenditure; this is necessary for the calculation of the type II Leontief later in this section.</w:t>
      </w:r>
    </w:p>
    <w:p w:rsidR="00304A61" w:rsidRPr="008352B7" w:rsidRDefault="00304A61" w:rsidP="00CE11E2">
      <w:pPr>
        <w:pStyle w:val="BodyText"/>
      </w:pPr>
      <w:r w:rsidRPr="008352B7">
        <w:t>Dividing each cell in the intermediate demand quadrant of the IxI matrix by its column total (Output at basic prices) produces the direct requirements table (</w:t>
      </w:r>
      <w:r w:rsidRPr="00A21D17">
        <w:rPr>
          <w:b/>
        </w:rPr>
        <w:t>A</w:t>
      </w:r>
      <w:r w:rsidRPr="008352B7">
        <w:t>). This shows the amount (£) purchased by the industries in the columns from the industries in the rows, in order to produce £1.00 of their own output.</w:t>
      </w:r>
    </w:p>
    <w:p w:rsidR="00304A61" w:rsidRDefault="00304A61" w:rsidP="00CE11E2">
      <w:pPr>
        <w:pStyle w:val="BodyText"/>
      </w:pPr>
      <w:r w:rsidRPr="008352B7">
        <w:t xml:space="preserve">Constructing an identity matrix </w:t>
      </w:r>
      <w:r>
        <w:t xml:space="preserve">(all zero with 1s on the diagonal) </w:t>
      </w:r>
      <w:r w:rsidRPr="008352B7">
        <w:t>of the same dimensions as the direct requ</w:t>
      </w:r>
      <w:r>
        <w:t>irements table (in this case,</w:t>
      </w:r>
      <w:r w:rsidR="00920617">
        <w:t xml:space="preserve"> </w:t>
      </w:r>
      <w:r w:rsidR="00FE1EF3">
        <w:t>12x12</w:t>
      </w:r>
      <w:r w:rsidRPr="008352B7">
        <w:t xml:space="preserve">) and subtracting the </w:t>
      </w:r>
      <w:r w:rsidRPr="00A21D17">
        <w:rPr>
          <w:b/>
        </w:rPr>
        <w:t>A</w:t>
      </w:r>
      <w:r w:rsidR="00397266">
        <w:rPr>
          <w:b/>
        </w:rPr>
        <w:t xml:space="preserve"> </w:t>
      </w:r>
      <w:r w:rsidRPr="008352B7">
        <w:t xml:space="preserve">matrix from the identity matrix produces the </w:t>
      </w:r>
      <w:r w:rsidR="00920617">
        <w:t>(</w:t>
      </w:r>
      <w:r w:rsidRPr="00A21D17">
        <w:rPr>
          <w:b/>
        </w:rPr>
        <w:t>I</w:t>
      </w:r>
      <w:r w:rsidR="00920617">
        <w:rPr>
          <w:b/>
        </w:rPr>
        <w:t xml:space="preserve"> </w:t>
      </w:r>
      <w:r w:rsidR="00EF1DE1">
        <w:t>–</w:t>
      </w:r>
      <w:r w:rsidR="00920617">
        <w:t xml:space="preserve"> </w:t>
      </w:r>
      <w:r w:rsidRPr="00A21D17">
        <w:rPr>
          <w:b/>
        </w:rPr>
        <w:t>A</w:t>
      </w:r>
      <w:r w:rsidR="00920617">
        <w:rPr>
          <w:b/>
        </w:rPr>
        <w:t>)</w:t>
      </w:r>
      <w:r w:rsidRPr="008352B7">
        <w:t xml:space="preserve"> matrix, the inverse of which is the type</w:t>
      </w:r>
      <w:r>
        <w:t xml:space="preserve"> I Leontief Inverse matrix</w:t>
      </w:r>
      <w:r w:rsidRPr="008352B7">
        <w:t>.</w:t>
      </w:r>
    </w:p>
    <w:p w:rsidR="00304A61" w:rsidRPr="008352B7" w:rsidRDefault="00304A61" w:rsidP="00CE11E2">
      <w:pPr>
        <w:pStyle w:val="BodyText"/>
      </w:pPr>
      <w:r>
        <w:t xml:space="preserve">The IxI, </w:t>
      </w:r>
      <w:r w:rsidRPr="00A21D17">
        <w:rPr>
          <w:b/>
        </w:rPr>
        <w:t>A</w:t>
      </w:r>
      <w:r>
        <w:t xml:space="preserve"> matrix and Leontief type I tables are shown over the page.</w:t>
      </w:r>
    </w:p>
    <w:p w:rsidR="00304A61" w:rsidRPr="00EF5E81" w:rsidRDefault="00304A61" w:rsidP="00304A61">
      <w:pPr>
        <w:rPr>
          <w:noProof/>
        </w:rPr>
      </w:pPr>
    </w:p>
    <w:p w:rsidR="00304A61" w:rsidRDefault="00304A61" w:rsidP="00304A61">
      <w:pPr>
        <w:sectPr w:rsidR="00304A61">
          <w:headerReference w:type="default" r:id="rId46"/>
          <w:footerReference w:type="default" r:id="rId47"/>
          <w:pgSz w:w="11909" w:h="16834" w:code="9"/>
          <w:pgMar w:top="1440" w:right="1440" w:bottom="1440" w:left="1440" w:header="720" w:footer="720" w:gutter="0"/>
          <w:cols w:space="720"/>
        </w:sectPr>
      </w:pPr>
    </w:p>
    <w:p w:rsidR="00304A61" w:rsidRDefault="00304A61" w:rsidP="00454A18">
      <w:pPr>
        <w:pStyle w:val="TableChartTitle"/>
        <w:spacing w:before="0"/>
      </w:pPr>
      <w:r w:rsidRPr="00B52B56">
        <w:lastRenderedPageBreak/>
        <w:t xml:space="preserve">Aggregate Industry by Industry Matrix </w:t>
      </w:r>
      <w:r w:rsidR="0099101A">
        <w:t>201</w:t>
      </w:r>
      <w:r w:rsidR="00976FAC">
        <w:t>4</w:t>
      </w:r>
      <w:r w:rsidRPr="00B52B56">
        <w:t xml:space="preserve"> (Basic Prices)</w:t>
      </w:r>
    </w:p>
    <w:p w:rsidR="0099101A" w:rsidRPr="0099101A" w:rsidRDefault="00D94841" w:rsidP="0099101A">
      <w:r w:rsidRPr="00D94841">
        <w:rPr>
          <w:noProof/>
        </w:rPr>
        <w:drawing>
          <wp:inline distT="0" distB="0" distL="0" distR="0" wp14:anchorId="1F3C4A0E" wp14:editId="66F1AC63">
            <wp:extent cx="9055100" cy="20202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55100" cy="2020297"/>
                    </a:xfrm>
                    <a:prstGeom prst="rect">
                      <a:avLst/>
                    </a:prstGeom>
                    <a:noFill/>
                    <a:ln>
                      <a:noFill/>
                    </a:ln>
                  </pic:spPr>
                </pic:pic>
              </a:graphicData>
            </a:graphic>
          </wp:inline>
        </w:drawing>
      </w:r>
    </w:p>
    <w:p w:rsidR="00304A61" w:rsidRPr="00B52B56" w:rsidRDefault="00304A61" w:rsidP="00304A61">
      <w:pPr>
        <w:pStyle w:val="TableChartTitle"/>
      </w:pPr>
      <w:r w:rsidRPr="00B52B56">
        <w:t>Direct requirements table (</w:t>
      </w:r>
      <w:r w:rsidR="000A2194">
        <w:t xml:space="preserve">the </w:t>
      </w:r>
      <w:r w:rsidR="000A2194">
        <w:rPr>
          <w:b/>
        </w:rPr>
        <w:t>A</w:t>
      </w:r>
      <w:r w:rsidR="000A2194" w:rsidRPr="00B52B56">
        <w:t xml:space="preserve"> </w:t>
      </w:r>
      <w:r w:rsidRPr="00B52B56">
        <w:t>matrix)</w:t>
      </w:r>
    </w:p>
    <w:p w:rsidR="00304A61" w:rsidRDefault="00D94841" w:rsidP="00304A61">
      <w:r w:rsidRPr="00D94841">
        <w:rPr>
          <w:noProof/>
        </w:rPr>
        <w:drawing>
          <wp:inline distT="0" distB="0" distL="0" distR="0" wp14:anchorId="26AC9875" wp14:editId="466195EC">
            <wp:extent cx="5932800" cy="1134000"/>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32800" cy="1134000"/>
                    </a:xfrm>
                    <a:prstGeom prst="rect">
                      <a:avLst/>
                    </a:prstGeom>
                    <a:noFill/>
                    <a:ln>
                      <a:noFill/>
                    </a:ln>
                  </pic:spPr>
                </pic:pic>
              </a:graphicData>
            </a:graphic>
          </wp:inline>
        </w:drawing>
      </w:r>
    </w:p>
    <w:p w:rsidR="00304A61" w:rsidRDefault="00304A61" w:rsidP="00304A61">
      <w:pPr>
        <w:pStyle w:val="TableChartTitle"/>
      </w:pPr>
      <w:r w:rsidRPr="00B52B56">
        <w:t>Leontief type I</w:t>
      </w:r>
    </w:p>
    <w:p w:rsidR="00304A61" w:rsidRDefault="00D94841" w:rsidP="00304A61">
      <w:r w:rsidRPr="00D94841">
        <w:rPr>
          <w:noProof/>
        </w:rPr>
        <w:drawing>
          <wp:inline distT="0" distB="0" distL="0" distR="0" wp14:anchorId="243093DE" wp14:editId="76A57753">
            <wp:extent cx="5932800" cy="1134000"/>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32800" cy="1134000"/>
                    </a:xfrm>
                    <a:prstGeom prst="rect">
                      <a:avLst/>
                    </a:prstGeom>
                    <a:noFill/>
                    <a:ln>
                      <a:noFill/>
                    </a:ln>
                  </pic:spPr>
                </pic:pic>
              </a:graphicData>
            </a:graphic>
          </wp:inline>
        </w:drawing>
      </w:r>
    </w:p>
    <w:p w:rsidR="00304A61" w:rsidRPr="00EF5E81" w:rsidRDefault="00304A61" w:rsidP="00304A61"/>
    <w:p w:rsidR="00304A61" w:rsidRPr="00EF5E81" w:rsidRDefault="00304A61" w:rsidP="00304A61">
      <w:pPr>
        <w:sectPr w:rsidR="00304A61" w:rsidRPr="00EF5E81" w:rsidSect="00304A61">
          <w:pgSz w:w="16834" w:h="11909" w:orient="landscape" w:code="9"/>
          <w:pgMar w:top="1134" w:right="1440" w:bottom="1440" w:left="1134" w:header="720" w:footer="720" w:gutter="0"/>
          <w:cols w:space="720"/>
        </w:sectPr>
      </w:pPr>
    </w:p>
    <w:p w:rsidR="00304A61" w:rsidRDefault="00304A61" w:rsidP="00304A61">
      <w:pPr>
        <w:pStyle w:val="Heading3"/>
      </w:pPr>
      <w:bookmarkStart w:id="211" w:name="_Toc290646663"/>
      <w:bookmarkStart w:id="212" w:name="_Toc290647193"/>
      <w:bookmarkStart w:id="213" w:name="_Toc290647240"/>
      <w:bookmarkStart w:id="214" w:name="_Toc292468973"/>
      <w:bookmarkStart w:id="215" w:name="_Toc497137029"/>
      <w:r>
        <w:lastRenderedPageBreak/>
        <w:t>Leontief type II</w:t>
      </w:r>
      <w:bookmarkEnd w:id="211"/>
      <w:bookmarkEnd w:id="212"/>
      <w:bookmarkEnd w:id="213"/>
      <w:bookmarkEnd w:id="214"/>
      <w:bookmarkEnd w:id="215"/>
    </w:p>
    <w:p w:rsidR="00304A61" w:rsidRPr="008352B7" w:rsidRDefault="00304A61" w:rsidP="00CE11E2">
      <w:pPr>
        <w:pStyle w:val="BodyText"/>
        <w:rPr>
          <w:b/>
        </w:rPr>
      </w:pPr>
      <w:r w:rsidRPr="008352B7">
        <w:t>The type II Leontief is calculated in the same way as the type I above but, as its purpose is also the estimate the flows of money in and out of households and the effect of these transactions upon industries</w:t>
      </w:r>
      <w:r w:rsidR="003C3D8E">
        <w:t xml:space="preserve"> (i.e. the </w:t>
      </w:r>
      <w:r w:rsidR="003C3D8E" w:rsidRPr="003C3D8E">
        <w:rPr>
          <w:i/>
        </w:rPr>
        <w:t>induced effect</w:t>
      </w:r>
      <w:r w:rsidR="003C3D8E">
        <w:t>)</w:t>
      </w:r>
      <w:r w:rsidRPr="008352B7">
        <w:t xml:space="preserve">, it is necessary to </w:t>
      </w:r>
      <w:proofErr w:type="spellStart"/>
      <w:r w:rsidRPr="00A00E91">
        <w:t>endogenise</w:t>
      </w:r>
      <w:proofErr w:type="spellEnd"/>
      <w:r w:rsidRPr="00A00E91">
        <w:t xml:space="preserve"> the household sector</w:t>
      </w:r>
      <w:r w:rsidRPr="008352B7">
        <w:rPr>
          <w:i/>
        </w:rPr>
        <w:t>.</w:t>
      </w:r>
      <w:r w:rsidRPr="008352B7">
        <w:t xml:space="preserve"> Put simply, we treat households as an additional industry by adding an extra row and column into the direct requirements table for ‘compensation of employees’ and ‘household expenditure’ coefficients respectively.</w:t>
      </w:r>
    </w:p>
    <w:p w:rsidR="00304A61" w:rsidRPr="008352B7" w:rsidRDefault="00304A61" w:rsidP="00CE11E2">
      <w:pPr>
        <w:pStyle w:val="BodyText"/>
      </w:pPr>
      <w:r w:rsidRPr="008352B7">
        <w:t>The formal notation for this direct requirements table is:</w:t>
      </w:r>
    </w:p>
    <w:tbl>
      <w:tblPr>
        <w:tblpPr w:leftFromText="180" w:rightFromText="180" w:vertAnchor="text" w:horzAnchor="margin" w:tblpX="642" w:tblpY="262"/>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1"/>
        <w:gridCol w:w="6614"/>
      </w:tblGrid>
      <w:tr w:rsidR="00304A61" w:rsidRPr="008352B7" w:rsidTr="00304A61">
        <w:trPr>
          <w:trHeight w:val="1539"/>
        </w:trPr>
        <w:tc>
          <w:tcPr>
            <w:tcW w:w="1951" w:type="dxa"/>
          </w:tcPr>
          <w:p w:rsidR="00304A61" w:rsidRPr="008352B7" w:rsidRDefault="00ED640C" w:rsidP="00076CC5">
            <w:pPr>
              <w:tabs>
                <w:tab w:val="left" w:pos="5954"/>
              </w:tabs>
              <w:rPr>
                <w:rFonts w:cs="Arial"/>
                <w:b/>
              </w:rPr>
            </w:pPr>
            <w:r w:rsidRPr="00CD0EC8">
              <w:rPr>
                <w:rFonts w:cs="Arial"/>
                <w:noProof/>
              </w:rPr>
              <w:drawing>
                <wp:inline distT="0" distB="0" distL="0" distR="0" wp14:anchorId="13920294" wp14:editId="6379A5CE">
                  <wp:extent cx="1209675" cy="361950"/>
                  <wp:effectExtent l="0" t="0" r="9525" b="0"/>
                  <wp:docPr id="19" name="Picture 19" descr="Leontief_typ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ontief_type_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09675" cy="361950"/>
                          </a:xfrm>
                          <a:prstGeom prst="rect">
                            <a:avLst/>
                          </a:prstGeom>
                          <a:noFill/>
                          <a:ln>
                            <a:noFill/>
                          </a:ln>
                        </pic:spPr>
                      </pic:pic>
                    </a:graphicData>
                  </a:graphic>
                </wp:inline>
              </w:drawing>
            </w:r>
          </w:p>
        </w:tc>
        <w:tc>
          <w:tcPr>
            <w:tcW w:w="6614" w:type="dxa"/>
          </w:tcPr>
          <w:p w:rsidR="00304A61" w:rsidRPr="008352B7" w:rsidRDefault="00304A61" w:rsidP="00304A61">
            <w:pPr>
              <w:tabs>
                <w:tab w:val="left" w:pos="5954"/>
              </w:tabs>
              <w:spacing w:before="60"/>
              <w:ind w:left="34"/>
              <w:rPr>
                <w:rFonts w:cs="Arial"/>
                <w:u w:val="single"/>
              </w:rPr>
            </w:pPr>
            <w:r w:rsidRPr="008352B7">
              <w:rPr>
                <w:rFonts w:cs="Arial"/>
                <w:u w:val="single"/>
              </w:rPr>
              <w:t>Where:</w:t>
            </w:r>
          </w:p>
          <w:p w:rsidR="00304A61" w:rsidRPr="008352B7" w:rsidRDefault="00304A61" w:rsidP="00304A61">
            <w:pPr>
              <w:spacing w:before="60"/>
              <w:ind w:left="885" w:hanging="885"/>
              <w:rPr>
                <w:rFonts w:cs="Arial"/>
              </w:rPr>
            </w:pPr>
            <w:proofErr w:type="spellStart"/>
            <w:r w:rsidRPr="00E26045">
              <w:rPr>
                <w:rFonts w:cs="Arial"/>
              </w:rPr>
              <w:t>A</w:t>
            </w:r>
            <w:r w:rsidRPr="00E26045">
              <w:rPr>
                <w:rFonts w:cs="Arial"/>
                <w:vertAlign w:val="subscript"/>
              </w:rPr>
              <w:t>II</w:t>
            </w:r>
            <w:proofErr w:type="spellEnd"/>
            <w:r w:rsidR="0018120A" w:rsidRPr="00E26045">
              <w:rPr>
                <w:rFonts w:cs="Arial"/>
              </w:rPr>
              <w:t>[i, j]</w:t>
            </w:r>
            <w:r w:rsidRPr="008352B7">
              <w:rPr>
                <w:rFonts w:cs="Arial"/>
                <w:vertAlign w:val="superscript"/>
              </w:rPr>
              <w:tab/>
            </w:r>
            <w:r w:rsidRPr="008352B7">
              <w:rPr>
                <w:rFonts w:cs="Arial"/>
              </w:rPr>
              <w:t xml:space="preserve">= amount of industry i required per unit of industry j; (This is identical to the </w:t>
            </w:r>
            <w:r w:rsidR="0018120A" w:rsidRPr="008352B7">
              <w:rPr>
                <w:rFonts w:cs="Arial"/>
              </w:rPr>
              <w:t>1</w:t>
            </w:r>
            <w:r w:rsidR="0018120A">
              <w:rPr>
                <w:rFonts w:cs="Arial"/>
              </w:rPr>
              <w:t>2</w:t>
            </w:r>
            <w:r w:rsidR="0018120A" w:rsidRPr="008352B7">
              <w:rPr>
                <w:rFonts w:cs="Arial"/>
              </w:rPr>
              <w:t>x1</w:t>
            </w:r>
            <w:r w:rsidR="0018120A">
              <w:rPr>
                <w:rFonts w:cs="Arial"/>
              </w:rPr>
              <w:t>2</w:t>
            </w:r>
            <w:r w:rsidR="0018120A" w:rsidRPr="008352B7">
              <w:rPr>
                <w:rFonts w:cs="Arial"/>
              </w:rPr>
              <w:t xml:space="preserve"> </w:t>
            </w:r>
            <w:r w:rsidRPr="00076CC5">
              <w:rPr>
                <w:rFonts w:cs="Arial"/>
                <w:b/>
              </w:rPr>
              <w:t>A</w:t>
            </w:r>
            <w:r w:rsidR="001406EC">
              <w:rPr>
                <w:rFonts w:cs="Arial"/>
              </w:rPr>
              <w:t xml:space="preserve"> </w:t>
            </w:r>
            <w:r w:rsidRPr="008352B7">
              <w:rPr>
                <w:rFonts w:cs="Arial"/>
              </w:rPr>
              <w:t xml:space="preserve">matrix used in the calculation of the Type I </w:t>
            </w:r>
            <w:r w:rsidR="00397266">
              <w:rPr>
                <w:rFonts w:cs="Arial"/>
              </w:rPr>
              <w:t>L</w:t>
            </w:r>
            <w:r w:rsidRPr="008352B7">
              <w:rPr>
                <w:rFonts w:cs="Arial"/>
              </w:rPr>
              <w:t>eontief above)</w:t>
            </w:r>
          </w:p>
          <w:p w:rsidR="00304A61" w:rsidRPr="008352B7" w:rsidRDefault="00304A61" w:rsidP="00304A61">
            <w:pPr>
              <w:spacing w:before="60"/>
              <w:ind w:left="885" w:hanging="885"/>
              <w:rPr>
                <w:rFonts w:cs="Arial"/>
              </w:rPr>
            </w:pPr>
            <w:proofErr w:type="spellStart"/>
            <w:r w:rsidRPr="00E26045">
              <w:rPr>
                <w:rFonts w:cs="Arial"/>
              </w:rPr>
              <w:t>A</w:t>
            </w:r>
            <w:r w:rsidRPr="00E26045">
              <w:rPr>
                <w:rFonts w:cs="Arial"/>
                <w:vertAlign w:val="subscript"/>
              </w:rPr>
              <w:t>IH</w:t>
            </w:r>
            <w:proofErr w:type="spellEnd"/>
            <w:r w:rsidR="000A2194" w:rsidRPr="00B70C3B">
              <w:rPr>
                <w:rFonts w:cs="Arial"/>
              </w:rPr>
              <w:t>[i, j]</w:t>
            </w:r>
            <w:r w:rsidRPr="008352B7">
              <w:rPr>
                <w:rFonts w:cs="Arial"/>
                <w:vertAlign w:val="superscript"/>
              </w:rPr>
              <w:tab/>
            </w:r>
            <w:r w:rsidRPr="008352B7">
              <w:rPr>
                <w:rFonts w:cs="Arial"/>
              </w:rPr>
              <w:t xml:space="preserve">= amount of industry i required per unit of total household income </w:t>
            </w:r>
            <w:r w:rsidRPr="00E26045">
              <w:rPr>
                <w:rFonts w:cs="Arial"/>
              </w:rPr>
              <w:t>from all sources</w:t>
            </w:r>
            <w:r w:rsidRPr="008352B7">
              <w:rPr>
                <w:rFonts w:cs="Arial"/>
              </w:rPr>
              <w:t xml:space="preserve"> (see note below);</w:t>
            </w:r>
          </w:p>
          <w:p w:rsidR="00304A61" w:rsidRPr="008352B7" w:rsidRDefault="00304A61" w:rsidP="00304A61">
            <w:pPr>
              <w:spacing w:before="60"/>
              <w:ind w:left="885" w:hanging="885"/>
              <w:rPr>
                <w:rFonts w:cs="Arial"/>
              </w:rPr>
            </w:pPr>
            <w:proofErr w:type="spellStart"/>
            <w:r w:rsidRPr="00E26045">
              <w:rPr>
                <w:rFonts w:cs="Arial"/>
              </w:rPr>
              <w:t>A</w:t>
            </w:r>
            <w:r w:rsidRPr="00E26045">
              <w:rPr>
                <w:rFonts w:cs="Arial"/>
                <w:vertAlign w:val="subscript"/>
              </w:rPr>
              <w:t>HI</w:t>
            </w:r>
            <w:proofErr w:type="spellEnd"/>
            <w:r w:rsidR="000A2194" w:rsidRPr="00B70C3B">
              <w:rPr>
                <w:rFonts w:cs="Arial"/>
              </w:rPr>
              <w:t>[i, j]</w:t>
            </w:r>
            <w:r w:rsidRPr="008352B7">
              <w:rPr>
                <w:rFonts w:cs="Arial"/>
                <w:vertAlign w:val="superscript"/>
              </w:rPr>
              <w:tab/>
            </w:r>
            <w:r w:rsidRPr="008352B7">
              <w:rPr>
                <w:rFonts w:cs="Arial"/>
              </w:rPr>
              <w:t>= income paid to households per unit of output of industry i;</w:t>
            </w:r>
          </w:p>
          <w:p w:rsidR="00304A61" w:rsidRPr="008352B7" w:rsidRDefault="00304A61" w:rsidP="00304A61">
            <w:pPr>
              <w:tabs>
                <w:tab w:val="left" w:pos="5954"/>
              </w:tabs>
              <w:spacing w:before="60"/>
              <w:ind w:left="885" w:hanging="885"/>
              <w:rPr>
                <w:rFonts w:cs="Arial"/>
                <w:b/>
              </w:rPr>
            </w:pPr>
            <w:proofErr w:type="spellStart"/>
            <w:r w:rsidRPr="00E26045">
              <w:rPr>
                <w:rFonts w:cs="Arial"/>
              </w:rPr>
              <w:t>A</w:t>
            </w:r>
            <w:r w:rsidRPr="00E26045">
              <w:rPr>
                <w:rFonts w:cs="Arial"/>
                <w:vertAlign w:val="subscript"/>
              </w:rPr>
              <w:t>HH</w:t>
            </w:r>
            <w:proofErr w:type="spellEnd"/>
            <w:r w:rsidR="000A2194" w:rsidRPr="00B70C3B">
              <w:rPr>
                <w:rFonts w:cs="Arial"/>
              </w:rPr>
              <w:t>[i, j]</w:t>
            </w:r>
            <w:r w:rsidRPr="008352B7">
              <w:rPr>
                <w:rFonts w:cs="Arial"/>
                <w:vertAlign w:val="superscript"/>
              </w:rPr>
              <w:tab/>
            </w:r>
            <w:r w:rsidRPr="008352B7">
              <w:rPr>
                <w:rFonts w:cs="Arial"/>
              </w:rPr>
              <w:t>= household expenditure per unit of exogenous household income.  (This cell is set to zero)</w:t>
            </w:r>
          </w:p>
        </w:tc>
      </w:tr>
    </w:tbl>
    <w:p w:rsidR="00304A61" w:rsidRDefault="00304A61" w:rsidP="00CE11E2">
      <w:pPr>
        <w:pStyle w:val="BodyText"/>
      </w:pPr>
    </w:p>
    <w:p w:rsidR="00304A61" w:rsidRDefault="00304A61" w:rsidP="00CE11E2">
      <w:pPr>
        <w:pStyle w:val="BodyText"/>
      </w:pPr>
      <w:r w:rsidRPr="008352B7">
        <w:t>Total household income from all sources is used as the denominator when calculating household expenditure coefficients (</w:t>
      </w:r>
      <w:proofErr w:type="spellStart"/>
      <w:r w:rsidRPr="00076CC5">
        <w:rPr>
          <w:b/>
        </w:rPr>
        <w:t>A</w:t>
      </w:r>
      <w:r w:rsidR="000D1ED6" w:rsidRPr="000D1ED6">
        <w:rPr>
          <w:b/>
          <w:vertAlign w:val="subscript"/>
        </w:rPr>
        <w:t>IH</w:t>
      </w:r>
      <w:proofErr w:type="spellEnd"/>
      <w:r w:rsidRPr="008352B7">
        <w:t xml:space="preserve">) even though it may at first seem odd not to use the total household </w:t>
      </w:r>
      <w:r w:rsidR="0037611B">
        <w:t xml:space="preserve">final consumption </w:t>
      </w:r>
      <w:r w:rsidRPr="008352B7">
        <w:t xml:space="preserve">expenditure figure </w:t>
      </w:r>
      <w:r w:rsidR="00A03126">
        <w:t>(</w:t>
      </w:r>
      <w:proofErr w:type="spellStart"/>
      <w:r w:rsidR="00A03126">
        <w:t>HHFCe</w:t>
      </w:r>
      <w:proofErr w:type="spellEnd"/>
      <w:r w:rsidR="001F3596">
        <w:t xml:space="preserve">) </w:t>
      </w:r>
      <w:r w:rsidRPr="008352B7">
        <w:t xml:space="preserve">from the </w:t>
      </w:r>
      <w:r w:rsidR="0018120A">
        <w:t>IxI Table</w:t>
      </w:r>
      <w:r w:rsidRPr="008352B7">
        <w:t xml:space="preserve">. However, there is a good reason for this: the total </w:t>
      </w:r>
      <w:proofErr w:type="spellStart"/>
      <w:r w:rsidR="001F3596">
        <w:t>HHFC</w:t>
      </w:r>
      <w:r w:rsidR="00A03126">
        <w:t>e</w:t>
      </w:r>
      <w:proofErr w:type="spellEnd"/>
      <w:r w:rsidRPr="008352B7">
        <w:t xml:space="preserve"> </w:t>
      </w:r>
      <w:r w:rsidR="001F3596">
        <w:t xml:space="preserve">figure </w:t>
      </w:r>
      <w:r w:rsidRPr="008352B7">
        <w:t xml:space="preserve">from the IO tables includes household purchases that are bought with </w:t>
      </w:r>
      <w:r w:rsidRPr="008352B7">
        <w:rPr>
          <w:u w:val="single"/>
        </w:rPr>
        <w:t>unearned income</w:t>
      </w:r>
      <w:r w:rsidRPr="008352B7">
        <w:t xml:space="preserve"> (pensions, dividends, </w:t>
      </w:r>
      <w:r w:rsidR="0018120A" w:rsidRPr="008352B7">
        <w:t>etc.</w:t>
      </w:r>
      <w:r w:rsidRPr="008352B7">
        <w:t>)</w:t>
      </w:r>
      <w:r w:rsidR="001F3596">
        <w:t>.</w:t>
      </w:r>
      <w:r w:rsidRPr="008352B7">
        <w:t xml:space="preserve"> In other words, not all household expenditure results from ‘Income from employment’ paid to households. If the </w:t>
      </w:r>
      <w:proofErr w:type="spellStart"/>
      <w:r w:rsidR="001F3596">
        <w:t>HHFC</w:t>
      </w:r>
      <w:r w:rsidR="00A03126">
        <w:t>e</w:t>
      </w:r>
      <w:proofErr w:type="spellEnd"/>
      <w:r w:rsidR="001F3596">
        <w:t xml:space="preserve"> </w:t>
      </w:r>
      <w:r w:rsidRPr="008352B7">
        <w:t xml:space="preserve">figure were used as the denominator, the sum of </w:t>
      </w:r>
      <w:proofErr w:type="spellStart"/>
      <w:r w:rsidRPr="00076CC5">
        <w:rPr>
          <w:b/>
        </w:rPr>
        <w:t>A</w:t>
      </w:r>
      <w:r w:rsidRPr="000D1ED6">
        <w:rPr>
          <w:b/>
          <w:vertAlign w:val="subscript"/>
        </w:rPr>
        <w:t>IH</w:t>
      </w:r>
      <w:proofErr w:type="spellEnd"/>
      <w:r w:rsidRPr="008352B7">
        <w:t xml:space="preserve"> would equal 1 and the resulting type II Leontief would tend to overestimate the induced effects of changes in the Scottish economy by artificially inflating the effect of earned income in generating further rounds of household spending.</w:t>
      </w:r>
    </w:p>
    <w:p w:rsidR="001F3596" w:rsidRPr="008352B7" w:rsidRDefault="00A03126" w:rsidP="00CE11E2">
      <w:pPr>
        <w:pStyle w:val="BodyText"/>
      </w:pPr>
      <w:r w:rsidRPr="008352B7">
        <w:t>This figure is also used to estimate unearned income (</w:t>
      </w:r>
      <w:r>
        <w:t xml:space="preserve">total income from all sources </w:t>
      </w:r>
      <w:r w:rsidRPr="002B6F44">
        <w:rPr>
          <w:i/>
        </w:rPr>
        <w:t>minus</w:t>
      </w:r>
      <w:r>
        <w:t xml:space="preserve"> compensation of employees)</w:t>
      </w:r>
      <w:r w:rsidRPr="008352B7">
        <w:t xml:space="preserve"> which is used later in the calibration stage. </w:t>
      </w:r>
      <w:r w:rsidR="001F3596">
        <w:t xml:space="preserve">For more information on the decision to use total household income from all sources, please see papers and minutes from the </w:t>
      </w:r>
      <w:hyperlink r:id="rId52" w:history="1">
        <w:r w:rsidR="001F3596" w:rsidRPr="001F3596">
          <w:rPr>
            <w:rStyle w:val="Hyperlink"/>
          </w:rPr>
          <w:t>IO Expert Users’ Group</w:t>
        </w:r>
      </w:hyperlink>
      <w:r w:rsidR="001F3596">
        <w:rPr>
          <w:rStyle w:val="FootnoteReference"/>
        </w:rPr>
        <w:footnoteReference w:id="23"/>
      </w:r>
      <w:r w:rsidR="001F3596">
        <w:t>.</w:t>
      </w:r>
    </w:p>
    <w:p w:rsidR="00304A61" w:rsidRDefault="00304A61" w:rsidP="00CE11E2">
      <w:pPr>
        <w:pStyle w:val="BodyText"/>
      </w:pPr>
      <w:r w:rsidRPr="008352B7">
        <w:t xml:space="preserve">Once coefficients for the household sector have been included in the manner described above, we arrive at the </w:t>
      </w:r>
      <w:r>
        <w:t>d</w:t>
      </w:r>
      <w:r w:rsidRPr="008352B7">
        <w:t>irect requirements table ‘A’</w:t>
      </w:r>
      <w:r>
        <w:t xml:space="preserve"> over the page</w:t>
      </w:r>
      <w:r w:rsidR="00D66CAA">
        <w:t>.</w:t>
      </w:r>
    </w:p>
    <w:p w:rsidR="00304A61" w:rsidRPr="008352B7" w:rsidRDefault="00304A61" w:rsidP="00CE11E2">
      <w:pPr>
        <w:pStyle w:val="BodyText"/>
      </w:pPr>
      <w:r w:rsidRPr="008352B7">
        <w:t xml:space="preserve">Subtracting matrix </w:t>
      </w:r>
      <w:r w:rsidRPr="00076CC5">
        <w:rPr>
          <w:b/>
        </w:rPr>
        <w:t>A</w:t>
      </w:r>
      <w:r w:rsidRPr="008352B7">
        <w:t xml:space="preserve"> from an identity matrix of the same dimensions (</w:t>
      </w:r>
      <w:r w:rsidR="00A54058">
        <w:t>12x12</w:t>
      </w:r>
      <w:r w:rsidRPr="008352B7">
        <w:t xml:space="preserve">) and calculating the inverse of the result </w:t>
      </w:r>
      <w:r w:rsidRPr="00076CC5">
        <w:rPr>
          <w:b/>
        </w:rPr>
        <w:t>L</w:t>
      </w:r>
      <w:r w:rsidRPr="008352B7">
        <w:t xml:space="preserve"> = (</w:t>
      </w:r>
      <w:r w:rsidRPr="00076CC5">
        <w:rPr>
          <w:b/>
        </w:rPr>
        <w:t>I</w:t>
      </w:r>
      <w:r w:rsidR="007D1E2C">
        <w:rPr>
          <w:b/>
        </w:rPr>
        <w:t xml:space="preserve"> </w:t>
      </w:r>
      <w:r w:rsidR="007B575A" w:rsidRPr="007B575A">
        <w:t>–</w:t>
      </w:r>
      <w:r w:rsidR="007D1E2C">
        <w:t xml:space="preserve"> </w:t>
      </w:r>
      <w:r w:rsidRPr="00076CC5">
        <w:rPr>
          <w:b/>
        </w:rPr>
        <w:t>A</w:t>
      </w:r>
      <w:r w:rsidRPr="008352B7">
        <w:t>)</w:t>
      </w:r>
      <w:r w:rsidRPr="008352B7">
        <w:rPr>
          <w:vertAlign w:val="superscript"/>
        </w:rPr>
        <w:t>-1</w:t>
      </w:r>
      <w:r w:rsidRPr="008352B7">
        <w:t xml:space="preserve"> yiel</w:t>
      </w:r>
      <w:r w:rsidR="00D66CAA">
        <w:t>ds the type II Leontief inverse.</w:t>
      </w:r>
    </w:p>
    <w:p w:rsidR="00304A61" w:rsidRDefault="00304A61" w:rsidP="00CE11E2">
      <w:pPr>
        <w:pStyle w:val="BodyText"/>
      </w:pPr>
      <w:r>
        <w:t>Since some of the figures are very small, t</w:t>
      </w:r>
      <w:r w:rsidRPr="008352B7">
        <w:t xml:space="preserve">he </w:t>
      </w:r>
      <w:r>
        <w:t xml:space="preserve">full </w:t>
      </w:r>
      <w:r w:rsidRPr="008352B7">
        <w:t xml:space="preserve">Leontief </w:t>
      </w:r>
      <w:r>
        <w:t xml:space="preserve">tables </w:t>
      </w:r>
      <w:r w:rsidRPr="008352B7">
        <w:t>ha</w:t>
      </w:r>
      <w:r>
        <w:t>ve</w:t>
      </w:r>
      <w:r w:rsidRPr="008352B7">
        <w:t xml:space="preserve"> traditionally been multiplied by 1</w:t>
      </w:r>
      <w:r w:rsidR="007D1E2C">
        <w:t>,</w:t>
      </w:r>
      <w:r w:rsidRPr="008352B7">
        <w:t>000 for presentation purposes</w:t>
      </w:r>
      <w:r>
        <w:t>.</w:t>
      </w:r>
    </w:p>
    <w:p w:rsidR="00304A61" w:rsidRDefault="00304A61" w:rsidP="00CE11E2">
      <w:pPr>
        <w:pStyle w:val="BodyText"/>
        <w:sectPr w:rsidR="00304A61">
          <w:pgSz w:w="11909" w:h="16834" w:code="9"/>
          <w:pgMar w:top="1440" w:right="1440" w:bottom="1440" w:left="1440" w:header="720" w:footer="720" w:gutter="0"/>
          <w:cols w:space="720"/>
        </w:sectPr>
      </w:pPr>
    </w:p>
    <w:p w:rsidR="00304A61" w:rsidRDefault="00304A61" w:rsidP="00304A61">
      <w:pPr>
        <w:pStyle w:val="TableChartTitle"/>
      </w:pPr>
    </w:p>
    <w:p w:rsidR="00304A61" w:rsidRPr="00B52B56" w:rsidRDefault="00304A61" w:rsidP="00304A61">
      <w:pPr>
        <w:pStyle w:val="TableChartTitle"/>
      </w:pPr>
      <w:bookmarkStart w:id="216" w:name="AMatrix"/>
      <w:bookmarkEnd w:id="216"/>
      <w:r w:rsidRPr="00B52B56">
        <w:t>Direct requirements table (</w:t>
      </w:r>
      <w:r w:rsidR="007D1E2C">
        <w:t xml:space="preserve">the </w:t>
      </w:r>
      <w:r w:rsidRPr="007D1E2C">
        <w:rPr>
          <w:b/>
        </w:rPr>
        <w:t>A</w:t>
      </w:r>
      <w:r w:rsidRPr="00B52B56">
        <w:t xml:space="preserve"> matrix)</w:t>
      </w:r>
    </w:p>
    <w:p w:rsidR="00304A61" w:rsidRPr="00491811" w:rsidRDefault="00D94841" w:rsidP="00304A61">
      <w:r w:rsidRPr="00D94841">
        <w:rPr>
          <w:noProof/>
        </w:rPr>
        <w:drawing>
          <wp:inline distT="0" distB="0" distL="0" distR="0" wp14:anchorId="1F0C5369" wp14:editId="36E8A1B6">
            <wp:extent cx="9055100" cy="1669328"/>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055100" cy="1669328"/>
                    </a:xfrm>
                    <a:prstGeom prst="rect">
                      <a:avLst/>
                    </a:prstGeom>
                    <a:noFill/>
                    <a:ln>
                      <a:noFill/>
                    </a:ln>
                  </pic:spPr>
                </pic:pic>
              </a:graphicData>
            </a:graphic>
          </wp:inline>
        </w:drawing>
      </w:r>
    </w:p>
    <w:p w:rsidR="00304A61" w:rsidRPr="00974952" w:rsidRDefault="00304A61" w:rsidP="00304A61">
      <w:pPr>
        <w:pStyle w:val="TableChartTitle"/>
      </w:pPr>
      <w:r w:rsidRPr="00974952">
        <w:t>Leontief type II</w:t>
      </w:r>
    </w:p>
    <w:p w:rsidR="00304A61" w:rsidRDefault="00D94841" w:rsidP="00304A61">
      <w:r w:rsidRPr="00D94841">
        <w:rPr>
          <w:noProof/>
        </w:rPr>
        <w:drawing>
          <wp:inline distT="0" distB="0" distL="0" distR="0" wp14:anchorId="1541E1B5" wp14:editId="1B7C90C2">
            <wp:extent cx="9055100" cy="1669328"/>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055100" cy="1669328"/>
                    </a:xfrm>
                    <a:prstGeom prst="rect">
                      <a:avLst/>
                    </a:prstGeom>
                    <a:noFill/>
                    <a:ln>
                      <a:noFill/>
                    </a:ln>
                  </pic:spPr>
                </pic:pic>
              </a:graphicData>
            </a:graphic>
          </wp:inline>
        </w:drawing>
      </w:r>
    </w:p>
    <w:p w:rsidR="00304A61" w:rsidRPr="00A614FD" w:rsidRDefault="00304A61" w:rsidP="00304A61"/>
    <w:p w:rsidR="00304A61" w:rsidRDefault="00304A61" w:rsidP="00304A61">
      <w:pPr>
        <w:sectPr w:rsidR="00304A61" w:rsidSect="00304A61">
          <w:pgSz w:w="16834" w:h="11909" w:orient="landscape" w:code="9"/>
          <w:pgMar w:top="1134" w:right="1440" w:bottom="1440" w:left="1134" w:header="720" w:footer="720" w:gutter="0"/>
          <w:cols w:space="720"/>
        </w:sectPr>
      </w:pPr>
    </w:p>
    <w:p w:rsidR="00304A61" w:rsidRPr="008352B7" w:rsidRDefault="00304A61" w:rsidP="00304A61">
      <w:pPr>
        <w:pStyle w:val="Heading2"/>
      </w:pPr>
      <w:bookmarkStart w:id="217" w:name="_Toc290646664"/>
      <w:bookmarkStart w:id="218" w:name="_Toc290647194"/>
      <w:bookmarkStart w:id="219" w:name="_Toc290647241"/>
      <w:bookmarkStart w:id="220" w:name="_Toc292468974"/>
      <w:bookmarkStart w:id="221" w:name="_Toc497137030"/>
      <w:r>
        <w:lastRenderedPageBreak/>
        <w:t>D</w:t>
      </w:r>
      <w:r w:rsidRPr="008352B7">
        <w:t>erivation of multipliers and effects</w:t>
      </w:r>
      <w:bookmarkEnd w:id="217"/>
      <w:bookmarkEnd w:id="218"/>
      <w:bookmarkEnd w:id="219"/>
      <w:bookmarkEnd w:id="220"/>
      <w:bookmarkEnd w:id="221"/>
    </w:p>
    <w:p w:rsidR="00304A61" w:rsidRPr="008352B7" w:rsidRDefault="00304A61" w:rsidP="00CE11E2">
      <w:pPr>
        <w:pStyle w:val="BodyText"/>
      </w:pPr>
      <w:r w:rsidRPr="008352B7">
        <w:t xml:space="preserve">The Input-Output publication gives </w:t>
      </w:r>
      <w:r>
        <w:t>seven</w:t>
      </w:r>
      <w:r w:rsidRPr="008352B7">
        <w:t xml:space="preserve"> different type</w:t>
      </w:r>
      <w:r>
        <w:t>s</w:t>
      </w:r>
      <w:r w:rsidRPr="008352B7">
        <w:t xml:space="preserve"> of aggregate multiplier for both type I and type II effects. The multipliers allow users to make estimates of the </w:t>
      </w:r>
      <w:r>
        <w:t>whole economy impacts of small</w:t>
      </w:r>
      <w:r w:rsidRPr="008352B7">
        <w:t xml:space="preserve"> change</w:t>
      </w:r>
      <w:r>
        <w:t>s</w:t>
      </w:r>
      <w:r w:rsidRPr="008352B7">
        <w:t xml:space="preserve"> in </w:t>
      </w:r>
      <w:r>
        <w:t>the Scottish economy.</w:t>
      </w:r>
    </w:p>
    <w:p w:rsidR="00304A61" w:rsidRPr="00893D57" w:rsidRDefault="00304A61" w:rsidP="00CE11E2">
      <w:pPr>
        <w:pStyle w:val="BodyText"/>
        <w:rPr>
          <w:b/>
        </w:rPr>
      </w:pPr>
      <w:r w:rsidRPr="00893D57">
        <w:rPr>
          <w:b/>
        </w:rPr>
        <w:t>Output multiplier</w:t>
      </w:r>
      <w:r w:rsidRPr="00893D57">
        <w:rPr>
          <w:b/>
        </w:rPr>
        <w:tab/>
      </w:r>
      <w:r w:rsidR="00CE5025">
        <w:rPr>
          <w:b/>
          <w:noProof/>
        </w:rPr>
        <w:drawing>
          <wp:anchor distT="0" distB="0" distL="114300" distR="114300" simplePos="0" relativeHeight="251671040" behindDoc="0" locked="0" layoutInCell="1" allowOverlap="1" wp14:anchorId="656BEF28" wp14:editId="78C2B0D6">
            <wp:simplePos x="0" y="0"/>
            <wp:positionH relativeFrom="column">
              <wp:posOffset>1828800</wp:posOffset>
            </wp:positionH>
            <wp:positionV relativeFrom="paragraph">
              <wp:posOffset>2540</wp:posOffset>
            </wp:positionV>
            <wp:extent cx="911225" cy="237490"/>
            <wp:effectExtent l="0" t="0" r="3175" b="0"/>
            <wp:wrapNone/>
            <wp:docPr id="44" name="Picture 44" descr="\\s0429a\datashare\OCEA\Input-Output\Publication\2014 Publication (1998-2011 IO tables)\Maths_image_for_method_guide\output_multip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0429a\datashare\OCEA\Input-Output\Publication\2014 Publication (1998-2011 IO tables)\Maths_image_for_method_guide\output_multiplier.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11225" cy="237490"/>
                    </a:xfrm>
                    <a:prstGeom prst="rect">
                      <a:avLst/>
                    </a:prstGeom>
                    <a:noFill/>
                    <a:ln>
                      <a:noFill/>
                    </a:ln>
                  </pic:spPr>
                </pic:pic>
              </a:graphicData>
            </a:graphic>
            <wp14:sizeRelH relativeFrom="page">
              <wp14:pctWidth>0</wp14:pctWidth>
            </wp14:sizeRelH>
            <wp14:sizeRelV relativeFrom="page">
              <wp14:pctHeight>0</wp14:pctHeight>
            </wp14:sizeRelV>
          </wp:anchor>
        </w:drawing>
      </w:r>
      <w:r w:rsidR="00F878CD" w:rsidRPr="00F878CD">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304A61" w:rsidRPr="008352B7" w:rsidRDefault="00304A61" w:rsidP="00CE11E2">
      <w:pPr>
        <w:pStyle w:val="BodyText"/>
      </w:pPr>
      <w:r w:rsidRPr="008352B7">
        <w:t>The Type I output multiplier for a particular industry is defined to be the total of all outputs from each domestic industry required in order to produce one additional unit of output: that is, the column sums (</w:t>
      </w:r>
      <w:r w:rsidRPr="008352B7">
        <w:sym w:font="Symbol" w:char="F053"/>
      </w:r>
      <w:r w:rsidRPr="008352B7">
        <w:rPr>
          <w:vertAlign w:val="subscript"/>
        </w:rPr>
        <w:t>i</w:t>
      </w:r>
      <w:r w:rsidRPr="008352B7">
        <w:t xml:space="preserve"> ) from the Type I Leontief inverse matrix (</w:t>
      </w:r>
      <w:proofErr w:type="spellStart"/>
      <w:r w:rsidRPr="005A7A5E">
        <w:t>L</w:t>
      </w:r>
      <w:r w:rsidRPr="00076CC5">
        <w:rPr>
          <w:b/>
          <w:vertAlign w:val="subscript"/>
        </w:rPr>
        <w:t>ij</w:t>
      </w:r>
      <w:proofErr w:type="spellEnd"/>
      <w:r w:rsidRPr="008352B7">
        <w:t>). Similarly, the Type II output multiplier is given from the column sums of Industry rows (i.e. exclude compensation of employees) from the Type II Leontief.</w:t>
      </w:r>
    </w:p>
    <w:p w:rsidR="00CE5025" w:rsidRDefault="00304A61" w:rsidP="00CE11E2">
      <w:pPr>
        <w:pStyle w:val="BodyText"/>
        <w:rPr>
          <w:b/>
        </w:rPr>
      </w:pPr>
      <w:r w:rsidRPr="00893D57">
        <w:rPr>
          <w:b/>
        </w:rPr>
        <w:t>Income multiplier</w:t>
      </w:r>
      <w:r w:rsidRPr="00893D57">
        <w:rPr>
          <w:b/>
        </w:rPr>
        <w:tab/>
      </w:r>
      <w:r w:rsidR="00CE5025">
        <w:rPr>
          <w:b/>
          <w:noProof/>
        </w:rPr>
        <w:drawing>
          <wp:anchor distT="0" distB="0" distL="114300" distR="114300" simplePos="0" relativeHeight="251672064" behindDoc="0" locked="0" layoutInCell="1" allowOverlap="1" wp14:anchorId="600703BE" wp14:editId="08276F90">
            <wp:simplePos x="0" y="0"/>
            <wp:positionH relativeFrom="column">
              <wp:posOffset>1828800</wp:posOffset>
            </wp:positionH>
            <wp:positionV relativeFrom="paragraph">
              <wp:posOffset>0</wp:posOffset>
            </wp:positionV>
            <wp:extent cx="1095375" cy="237490"/>
            <wp:effectExtent l="0" t="0" r="9525" b="0"/>
            <wp:wrapNone/>
            <wp:docPr id="47" name="Picture 47" descr="\\s0429a\datashare\OCEA\Input-Output\Publication\2014 Publication (1998-2011 IO tables)\Maths_image_for_method_guide\income_multip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0429a\datashare\OCEA\Input-Output\Publication\2014 Publication (1998-2011 IO tables)\Maths_image_for_method_guide\income_multiplier.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95375" cy="237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4A61" w:rsidRPr="008352B7" w:rsidRDefault="00304A61" w:rsidP="00CE11E2">
      <w:pPr>
        <w:pStyle w:val="BodyText"/>
      </w:pPr>
      <w:r w:rsidRPr="008352B7">
        <w:t>The Type I and II income multipliers show the increase in income from employment (</w:t>
      </w:r>
      <w:proofErr w:type="spellStart"/>
      <w:r w:rsidRPr="008352B7">
        <w:t>IfE</w:t>
      </w:r>
      <w:proofErr w:type="spellEnd"/>
      <w:r w:rsidRPr="008352B7">
        <w:t>) throughout the Scottish economy that results from a change of £1 of income from employment in each industry. In the formula above, ‘</w:t>
      </w:r>
      <w:r w:rsidRPr="00076CC5">
        <w:rPr>
          <w:b/>
        </w:rPr>
        <w:t>v</w:t>
      </w:r>
      <w:r w:rsidRPr="008352B7">
        <w:t xml:space="preserve">’ refers to the ratio of </w:t>
      </w:r>
      <w:proofErr w:type="spellStart"/>
      <w:r w:rsidRPr="008352B7">
        <w:t>IfE</w:t>
      </w:r>
      <w:proofErr w:type="spellEnd"/>
      <w:r w:rsidRPr="008352B7">
        <w:t>/total output for each industry.</w:t>
      </w:r>
    </w:p>
    <w:p w:rsidR="00CE5025" w:rsidRDefault="00304A61" w:rsidP="00CE11E2">
      <w:pPr>
        <w:pStyle w:val="BodyText"/>
        <w:rPr>
          <w:b/>
        </w:rPr>
      </w:pPr>
      <w:r w:rsidRPr="00893D57">
        <w:rPr>
          <w:b/>
        </w:rPr>
        <w:t>Income effects</w:t>
      </w:r>
      <w:r w:rsidRPr="00893D57">
        <w:rPr>
          <w:b/>
        </w:rPr>
        <w:tab/>
      </w:r>
      <w:r w:rsidRPr="00893D57">
        <w:rPr>
          <w:b/>
        </w:rPr>
        <w:tab/>
      </w:r>
      <w:r w:rsidR="00CE5025">
        <w:rPr>
          <w:b/>
          <w:noProof/>
        </w:rPr>
        <w:drawing>
          <wp:anchor distT="0" distB="0" distL="114300" distR="114300" simplePos="0" relativeHeight="251673088" behindDoc="0" locked="0" layoutInCell="1" allowOverlap="1" wp14:anchorId="6BEF8B20" wp14:editId="5FB94415">
            <wp:simplePos x="0" y="0"/>
            <wp:positionH relativeFrom="column">
              <wp:posOffset>1828800</wp:posOffset>
            </wp:positionH>
            <wp:positionV relativeFrom="paragraph">
              <wp:posOffset>-635</wp:posOffset>
            </wp:positionV>
            <wp:extent cx="838835" cy="237490"/>
            <wp:effectExtent l="0" t="0" r="0" b="0"/>
            <wp:wrapNone/>
            <wp:docPr id="48" name="Picture 48" descr="\\s0429a\datashare\OCEA\Input-Output\Publication\2014 Publication (1998-2011 IO tables)\Maths_image_for_method_guide\income_effec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0429a\datashare\OCEA\Input-Output\Publication\2014 Publication (1998-2011 IO tables)\Maths_image_for_method_guide\income_effects.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38835" cy="237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4A61" w:rsidRDefault="00304A61" w:rsidP="00CE11E2">
      <w:pPr>
        <w:pStyle w:val="BodyText"/>
      </w:pPr>
      <w:r w:rsidRPr="008352B7">
        <w:t xml:space="preserve">This statistic calculates the impact upon </w:t>
      </w:r>
      <w:proofErr w:type="spellStart"/>
      <w:r w:rsidRPr="008352B7">
        <w:t>IfE</w:t>
      </w:r>
      <w:proofErr w:type="spellEnd"/>
      <w:r w:rsidRPr="008352B7">
        <w:t xml:space="preserve"> throughout the Scottish economy arising from a change in final demand for industry j’s output of £1.</w:t>
      </w:r>
    </w:p>
    <w:p w:rsidR="00CE5025" w:rsidRDefault="00304A61" w:rsidP="00CE11E2">
      <w:pPr>
        <w:pStyle w:val="BodyText"/>
        <w:rPr>
          <w:b/>
        </w:rPr>
      </w:pPr>
      <w:r>
        <w:rPr>
          <w:b/>
        </w:rPr>
        <w:t>GVA</w:t>
      </w:r>
      <w:r w:rsidRPr="00893D57">
        <w:rPr>
          <w:b/>
        </w:rPr>
        <w:t xml:space="preserve"> multiplier</w:t>
      </w:r>
      <w:r w:rsidRPr="00893D57">
        <w:rPr>
          <w:b/>
        </w:rPr>
        <w:tab/>
      </w:r>
      <w:r>
        <w:rPr>
          <w:b/>
        </w:rPr>
        <w:tab/>
      </w:r>
      <w:r w:rsidR="00CE5025">
        <w:rPr>
          <w:b/>
          <w:noProof/>
        </w:rPr>
        <w:drawing>
          <wp:anchor distT="0" distB="0" distL="114300" distR="114300" simplePos="0" relativeHeight="251674112" behindDoc="0" locked="0" layoutInCell="1" allowOverlap="1" wp14:anchorId="6175C466" wp14:editId="7DFC7709">
            <wp:simplePos x="0" y="0"/>
            <wp:positionH relativeFrom="column">
              <wp:posOffset>1828800</wp:posOffset>
            </wp:positionH>
            <wp:positionV relativeFrom="paragraph">
              <wp:posOffset>-1905</wp:posOffset>
            </wp:positionV>
            <wp:extent cx="1144270" cy="237490"/>
            <wp:effectExtent l="0" t="0" r="0" b="0"/>
            <wp:wrapNone/>
            <wp:docPr id="49" name="Picture 49" descr="\\s0429a\datashare\OCEA\Input-Output\Publication\2014 Publication (1998-2011 IO tables)\Maths_image_for_method_guide\gva_multip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0429a\datashare\OCEA\Input-Output\Publication\2014 Publication (1998-2011 IO tables)\Maths_image_for_method_guide\gva_multiplier.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44270" cy="237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4A61" w:rsidRPr="008352B7" w:rsidRDefault="00304A61" w:rsidP="00CE11E2">
      <w:pPr>
        <w:pStyle w:val="BodyText"/>
      </w:pPr>
      <w:r w:rsidRPr="008352B7">
        <w:t xml:space="preserve">The Type I and II </w:t>
      </w:r>
      <w:r>
        <w:t>GVA</w:t>
      </w:r>
      <w:r w:rsidRPr="008352B7">
        <w:t xml:space="preserve"> multipliers show the increase in </w:t>
      </w:r>
      <w:r>
        <w:t>GVA</w:t>
      </w:r>
      <w:r w:rsidRPr="008352B7">
        <w:t xml:space="preserve"> throughout the Scottish economy that results from a change of £1 of </w:t>
      </w:r>
      <w:r>
        <w:t>GVA</w:t>
      </w:r>
      <w:r w:rsidRPr="008352B7">
        <w:t xml:space="preserve"> in each in</w:t>
      </w:r>
      <w:r>
        <w:t>dustry. In the formula above, ‘</w:t>
      </w:r>
      <w:r w:rsidRPr="00076CC5">
        <w:rPr>
          <w:b/>
        </w:rPr>
        <w:t>g</w:t>
      </w:r>
      <w:r w:rsidRPr="008352B7">
        <w:t xml:space="preserve">’ refers to the ratio of </w:t>
      </w:r>
      <w:r>
        <w:t>GVA</w:t>
      </w:r>
      <w:r w:rsidRPr="008352B7">
        <w:t>/total output for each industry</w:t>
      </w:r>
      <w:r>
        <w:t xml:space="preserve"> (taken directly from the IxI table)</w:t>
      </w:r>
      <w:r w:rsidRPr="008352B7">
        <w:t>.</w:t>
      </w:r>
    </w:p>
    <w:p w:rsidR="00CE5025" w:rsidRDefault="00304A61" w:rsidP="00CE11E2">
      <w:pPr>
        <w:pStyle w:val="BodyText"/>
        <w:rPr>
          <w:b/>
        </w:rPr>
      </w:pPr>
      <w:r>
        <w:rPr>
          <w:b/>
        </w:rPr>
        <w:t>GVA effects</w:t>
      </w:r>
      <w:r>
        <w:rPr>
          <w:b/>
        </w:rPr>
        <w:tab/>
      </w:r>
      <w:r w:rsidR="00CE5025">
        <w:rPr>
          <w:b/>
        </w:rPr>
        <w:tab/>
      </w:r>
      <w:r w:rsidR="00CE5025">
        <w:rPr>
          <w:b/>
          <w:noProof/>
        </w:rPr>
        <w:drawing>
          <wp:anchor distT="0" distB="0" distL="114300" distR="114300" simplePos="0" relativeHeight="251675136" behindDoc="0" locked="0" layoutInCell="1" allowOverlap="1" wp14:anchorId="596F8962" wp14:editId="26F64AD9">
            <wp:simplePos x="0" y="0"/>
            <wp:positionH relativeFrom="column">
              <wp:posOffset>1828800</wp:posOffset>
            </wp:positionH>
            <wp:positionV relativeFrom="paragraph">
              <wp:posOffset>-2540</wp:posOffset>
            </wp:positionV>
            <wp:extent cx="887095" cy="237490"/>
            <wp:effectExtent l="0" t="0" r="8255" b="0"/>
            <wp:wrapNone/>
            <wp:docPr id="50" name="Picture 50" descr="\\s0429a\datashare\OCEA\Input-Output\Publication\2014 Publication (1998-2011 IO tables)\Maths_image_for_method_guide\gva_effec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0429a\datashare\OCEA\Input-Output\Publication\2014 Publication (1998-2011 IO tables)\Maths_image_for_method_guide\gva_effects.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87095" cy="237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4A61" w:rsidRPr="008352B7" w:rsidRDefault="00304A61" w:rsidP="00CE11E2">
      <w:pPr>
        <w:pStyle w:val="BodyText"/>
      </w:pPr>
      <w:r w:rsidRPr="008352B7">
        <w:t xml:space="preserve">This statistic calculates the impact upon </w:t>
      </w:r>
      <w:r>
        <w:t>GVA</w:t>
      </w:r>
      <w:r w:rsidRPr="008352B7">
        <w:t xml:space="preserve"> throughout the Scottish economy arising from a change in final demand for industry j’s output of £1.</w:t>
      </w:r>
    </w:p>
    <w:p w:rsidR="00CE5025" w:rsidRDefault="00304A61" w:rsidP="00CE11E2">
      <w:pPr>
        <w:pStyle w:val="BodyText"/>
        <w:rPr>
          <w:b/>
        </w:rPr>
      </w:pPr>
      <w:r w:rsidRPr="00893D57">
        <w:rPr>
          <w:b/>
        </w:rPr>
        <w:t>Employment multiplier</w:t>
      </w:r>
      <w:r w:rsidR="00CE5025">
        <w:rPr>
          <w:b/>
        </w:rPr>
        <w:t xml:space="preserve">   </w:t>
      </w:r>
      <w:r w:rsidR="00CE5025">
        <w:rPr>
          <w:b/>
          <w:noProof/>
        </w:rPr>
        <w:drawing>
          <wp:anchor distT="0" distB="0" distL="114300" distR="114300" simplePos="0" relativeHeight="251676160" behindDoc="0" locked="0" layoutInCell="1" allowOverlap="1" wp14:anchorId="51A21CEE" wp14:editId="533CB5D8">
            <wp:simplePos x="0" y="0"/>
            <wp:positionH relativeFrom="column">
              <wp:posOffset>1835785</wp:posOffset>
            </wp:positionH>
            <wp:positionV relativeFrom="paragraph">
              <wp:posOffset>-3810</wp:posOffset>
            </wp:positionV>
            <wp:extent cx="1183005" cy="237490"/>
            <wp:effectExtent l="0" t="0" r="0" b="0"/>
            <wp:wrapNone/>
            <wp:docPr id="51" name="Picture 51" descr="\\s0429a\datashare\OCEA\Input-Output\Publication\2014 Publication (1998-2011 IO tables)\Maths_image_for_method_guide\employment_multip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0429a\datashare\OCEA\Input-Output\Publication\2014 Publication (1998-2011 IO tables)\Maths_image_for_method_guide\employment_multiplier.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83005" cy="237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4A61" w:rsidRPr="008352B7" w:rsidRDefault="00304A61" w:rsidP="00CE11E2">
      <w:pPr>
        <w:pStyle w:val="BodyText"/>
      </w:pPr>
      <w:r w:rsidRPr="008352B7">
        <w:t>The employment multipliers show the total increases in employment throughout the Scottish economy which result from an increase in final demand which is enough to create one additional FTE (full-time equivalent) employment in that industry. In the formula above, ‘</w:t>
      </w:r>
      <w:r w:rsidRPr="00076CC5">
        <w:rPr>
          <w:b/>
        </w:rPr>
        <w:t>w</w:t>
      </w:r>
      <w:r w:rsidRPr="008352B7">
        <w:t>’ is equal to FTE per £ of total output for each industry.</w:t>
      </w:r>
    </w:p>
    <w:p w:rsidR="00304A61" w:rsidRPr="008352B7" w:rsidRDefault="00304A61" w:rsidP="00CE11E2">
      <w:pPr>
        <w:pStyle w:val="BodyText"/>
      </w:pPr>
      <w:r w:rsidRPr="008352B7">
        <w:t xml:space="preserve">This analysis uses the results of the symmetric table analysis, but additionally requires full-time equivalent employment (FTE) data.  This data is required in the format of the number of FTE’s by the </w:t>
      </w:r>
      <w:r w:rsidR="00A54058">
        <w:t xml:space="preserve">98 </w:t>
      </w:r>
      <w:r w:rsidRPr="008352B7">
        <w:t xml:space="preserve">industry sectors, and is derived using data from </w:t>
      </w:r>
      <w:proofErr w:type="spellStart"/>
      <w:r w:rsidRPr="004D0848">
        <w:t>NOMIS</w:t>
      </w:r>
      <w:proofErr w:type="spellEnd"/>
      <w:r w:rsidR="004D0848">
        <w:rPr>
          <w:rStyle w:val="FootnoteReference"/>
        </w:rPr>
        <w:footnoteReference w:id="24"/>
      </w:r>
      <w:r w:rsidRPr="008352B7">
        <w:t>. N</w:t>
      </w:r>
      <w:r>
        <w:t>ote the</w:t>
      </w:r>
      <w:r w:rsidRPr="008352B7">
        <w:t>s</w:t>
      </w:r>
      <w:r>
        <w:t>e</w:t>
      </w:r>
      <w:r w:rsidRPr="008352B7">
        <w:t xml:space="preserve"> data cover employees only and therefore do not </w:t>
      </w:r>
      <w:r>
        <w:t xml:space="preserve">(currently) </w:t>
      </w:r>
      <w:r w:rsidRPr="008352B7">
        <w:t xml:space="preserve">cover self-employed persons.  Care must </w:t>
      </w:r>
      <w:r w:rsidR="00A54058">
        <w:t xml:space="preserve">be </w:t>
      </w:r>
      <w:r w:rsidRPr="008352B7">
        <w:t>taken when interpreting multiplier analysis of industries that contain a large number of self-employed persons.</w:t>
      </w:r>
    </w:p>
    <w:p w:rsidR="00304A61" w:rsidRPr="00893D57" w:rsidRDefault="00304A61" w:rsidP="00CE11E2">
      <w:pPr>
        <w:pStyle w:val="BodyText"/>
        <w:rPr>
          <w:b/>
        </w:rPr>
      </w:pPr>
      <w:r w:rsidRPr="00893D57">
        <w:rPr>
          <w:b/>
        </w:rPr>
        <w:t>Employment effects</w:t>
      </w:r>
      <w:r w:rsidRPr="00893D57">
        <w:rPr>
          <w:b/>
        </w:rPr>
        <w:tab/>
      </w:r>
      <w:r w:rsidR="00CE5025">
        <w:rPr>
          <w:b/>
          <w:noProof/>
        </w:rPr>
        <w:drawing>
          <wp:anchor distT="0" distB="0" distL="114300" distR="114300" simplePos="0" relativeHeight="251677184" behindDoc="0" locked="0" layoutInCell="1" allowOverlap="1" wp14:anchorId="5B190213" wp14:editId="69716E3D">
            <wp:simplePos x="0" y="0"/>
            <wp:positionH relativeFrom="column">
              <wp:posOffset>1828800</wp:posOffset>
            </wp:positionH>
            <wp:positionV relativeFrom="paragraph">
              <wp:posOffset>635</wp:posOffset>
            </wp:positionV>
            <wp:extent cx="891540" cy="236220"/>
            <wp:effectExtent l="0" t="0" r="3810" b="0"/>
            <wp:wrapNone/>
            <wp:docPr id="52" name="Picture 52" descr="\\s0429a\datashare\OCEA\Input-Output\Publication\2014 Publication (1998-2011 IO tables)\Maths_image_for_method_guide\employment_effec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0429a\datashare\OCEA\Input-Output\Publication\2014 Publication (1998-2011 IO tables)\Maths_image_for_method_guide\employment_effects.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91540" cy="236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4A61" w:rsidRPr="008352B7" w:rsidRDefault="00304A61" w:rsidP="00CE11E2">
      <w:pPr>
        <w:pStyle w:val="BodyText"/>
      </w:pPr>
      <w:r w:rsidRPr="008352B7">
        <w:t>The employment effects statistic calculates the impact upon employment throughout the Scottish economy arising from a change in final demand for industry j’s output of £1.</w:t>
      </w:r>
    </w:p>
    <w:p w:rsidR="00304A61" w:rsidRPr="008352B7" w:rsidRDefault="00304A61" w:rsidP="00304A61">
      <w:pPr>
        <w:pStyle w:val="Heading2"/>
      </w:pPr>
      <w:r>
        <w:br w:type="page"/>
      </w:r>
      <w:bookmarkStart w:id="222" w:name="_Toc290646665"/>
      <w:bookmarkStart w:id="223" w:name="_Toc290647195"/>
      <w:bookmarkStart w:id="224" w:name="_Toc290647242"/>
      <w:bookmarkStart w:id="225" w:name="_Toc292468975"/>
      <w:bookmarkStart w:id="226" w:name="_Toc497137031"/>
      <w:r>
        <w:lastRenderedPageBreak/>
        <w:t>Consistency testing the Leontief tables</w:t>
      </w:r>
      <w:r w:rsidRPr="008352B7">
        <w:t xml:space="preserve"> and multipliers</w:t>
      </w:r>
      <w:bookmarkEnd w:id="222"/>
      <w:bookmarkEnd w:id="223"/>
      <w:bookmarkEnd w:id="224"/>
      <w:bookmarkEnd w:id="225"/>
      <w:bookmarkEnd w:id="226"/>
    </w:p>
    <w:p w:rsidR="00304A61" w:rsidRDefault="00304A61" w:rsidP="00CE11E2">
      <w:pPr>
        <w:pStyle w:val="BodyText"/>
      </w:pPr>
      <w:r w:rsidRPr="008352B7">
        <w:t>The term ‘calibration’ is used to describe the process whereby the Leontief Inverses are checked by calculating the matrix product of the Leontief and the vector of final demands. The outcome of this calculation (if the Leontief’s are correct) is to recreate the base year gross outputs at basic prices.</w:t>
      </w:r>
    </w:p>
    <w:tbl>
      <w:tblPr>
        <w:tblW w:w="8569"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7435"/>
      </w:tblGrid>
      <w:tr w:rsidR="00304A61" w:rsidRPr="008352B7" w:rsidTr="004D0848">
        <w:trPr>
          <w:cantSplit/>
          <w:trHeight w:val="1570"/>
        </w:trPr>
        <w:tc>
          <w:tcPr>
            <w:tcW w:w="1134" w:type="dxa"/>
          </w:tcPr>
          <w:p w:rsidR="00304A61" w:rsidRPr="00076CC5" w:rsidRDefault="00ED640C" w:rsidP="00304A61">
            <w:r>
              <w:rPr>
                <w:noProof/>
              </w:rPr>
              <w:drawing>
                <wp:inline distT="0" distB="0" distL="0" distR="0" wp14:anchorId="3F9F041C" wp14:editId="526D79DE">
                  <wp:extent cx="657225" cy="152400"/>
                  <wp:effectExtent l="0" t="0" r="9525" b="0"/>
                  <wp:docPr id="29" name="Picture 29" descr="Consistency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nsistency_L"/>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57225" cy="152400"/>
                          </a:xfrm>
                          <a:prstGeom prst="rect">
                            <a:avLst/>
                          </a:prstGeom>
                          <a:noFill/>
                          <a:ln>
                            <a:noFill/>
                          </a:ln>
                        </pic:spPr>
                      </pic:pic>
                    </a:graphicData>
                  </a:graphic>
                </wp:inline>
              </w:drawing>
            </w:r>
          </w:p>
        </w:tc>
        <w:tc>
          <w:tcPr>
            <w:tcW w:w="7435" w:type="dxa"/>
          </w:tcPr>
          <w:p w:rsidR="00304A61" w:rsidRPr="008352B7" w:rsidRDefault="00304A61" w:rsidP="00F270FC">
            <w:pPr>
              <w:spacing w:after="60"/>
              <w:ind w:left="567" w:hanging="567"/>
              <w:rPr>
                <w:u w:val="single"/>
              </w:rPr>
            </w:pPr>
            <w:r w:rsidRPr="008352B7">
              <w:rPr>
                <w:u w:val="single"/>
              </w:rPr>
              <w:t>Where</w:t>
            </w:r>
          </w:p>
          <w:p w:rsidR="00304A61" w:rsidRPr="008352B7" w:rsidRDefault="00304A61" w:rsidP="007C3002">
            <w:pPr>
              <w:tabs>
                <w:tab w:val="left" w:pos="340"/>
                <w:tab w:val="left" w:pos="567"/>
              </w:tabs>
              <w:spacing w:after="60"/>
              <w:ind w:left="567" w:hanging="567"/>
            </w:pPr>
            <w:proofErr w:type="spellStart"/>
            <w:r w:rsidRPr="00076CC5">
              <w:rPr>
                <w:b/>
              </w:rPr>
              <w:t>O</w:t>
            </w:r>
            <w:r w:rsidRPr="00076CC5">
              <w:rPr>
                <w:b/>
                <w:vertAlign w:val="subscript"/>
              </w:rPr>
              <w:t>g</w:t>
            </w:r>
            <w:proofErr w:type="spellEnd"/>
            <w:r w:rsidR="00F270FC">
              <w:rPr>
                <w:vertAlign w:val="subscript"/>
              </w:rPr>
              <w:tab/>
            </w:r>
            <w:r w:rsidRPr="008352B7">
              <w:t>=</w:t>
            </w:r>
            <w:r w:rsidR="007C3002">
              <w:tab/>
            </w:r>
            <w:r w:rsidRPr="008352B7">
              <w:t>Column vector (of size n, where n = number of industries in the Leontief) of gross output at basic prices for each industry. When calibrating the type II matrix, an ‘additional’ cell I(1,</w:t>
            </w:r>
            <w:r w:rsidR="00A54058">
              <w:t xml:space="preserve"> </w:t>
            </w:r>
            <w:r w:rsidRPr="008352B7">
              <w:t>n+1) is output that should equal the figure of total household income from all sources</w:t>
            </w:r>
          </w:p>
          <w:p w:rsidR="00304A61" w:rsidRPr="008352B7" w:rsidRDefault="00304A61" w:rsidP="007C3002">
            <w:pPr>
              <w:tabs>
                <w:tab w:val="left" w:pos="340"/>
                <w:tab w:val="left" w:pos="567"/>
              </w:tabs>
              <w:spacing w:after="60"/>
              <w:ind w:left="567" w:hanging="567"/>
            </w:pPr>
            <w:r w:rsidRPr="00076CC5">
              <w:rPr>
                <w:b/>
              </w:rPr>
              <w:t>L</w:t>
            </w:r>
            <w:r w:rsidR="00F270FC">
              <w:tab/>
            </w:r>
            <w:r>
              <w:t>=</w:t>
            </w:r>
            <w:r w:rsidR="007C3002">
              <w:tab/>
            </w:r>
            <w:r w:rsidRPr="008352B7">
              <w:t xml:space="preserve">Leontief Inverse Matrix </w:t>
            </w:r>
          </w:p>
          <w:p w:rsidR="00304A61" w:rsidRPr="008352B7" w:rsidRDefault="00304A61" w:rsidP="00E30911">
            <w:pPr>
              <w:tabs>
                <w:tab w:val="left" w:pos="340"/>
                <w:tab w:val="left" w:pos="567"/>
              </w:tabs>
              <w:spacing w:after="60"/>
              <w:ind w:left="567" w:hanging="567"/>
            </w:pPr>
            <w:proofErr w:type="spellStart"/>
            <w:r w:rsidRPr="00076CC5">
              <w:rPr>
                <w:b/>
              </w:rPr>
              <w:t>F</w:t>
            </w:r>
            <w:r w:rsidRPr="00076CC5">
              <w:rPr>
                <w:b/>
                <w:vertAlign w:val="subscript"/>
              </w:rPr>
              <w:t>d</w:t>
            </w:r>
            <w:proofErr w:type="spellEnd"/>
            <w:r w:rsidR="00F270FC">
              <w:rPr>
                <w:vertAlign w:val="subscript"/>
              </w:rPr>
              <w:tab/>
            </w:r>
            <w:r w:rsidRPr="008352B7">
              <w:t>=</w:t>
            </w:r>
            <w:r w:rsidR="007C3002">
              <w:tab/>
            </w:r>
            <w:r w:rsidRPr="008352B7">
              <w:t xml:space="preserve">Column vector of final demand by industry. When calibrating the type II Leontief, this vector does </w:t>
            </w:r>
            <w:r w:rsidRPr="008352B7">
              <w:rPr>
                <w:u w:val="single"/>
              </w:rPr>
              <w:t>not</w:t>
            </w:r>
            <w:r w:rsidRPr="008352B7">
              <w:t xml:space="preserve"> include household expenditure and an additional cell (1,</w:t>
            </w:r>
            <w:r w:rsidR="00A54058">
              <w:t xml:space="preserve"> </w:t>
            </w:r>
            <w:r w:rsidRPr="008352B7">
              <w:t>n+1) should be included at the bottom of this vector equalling the figure of unearned income</w:t>
            </w:r>
            <w:r w:rsidR="00E30911">
              <w:t xml:space="preserve"> (total income from all sources </w:t>
            </w:r>
            <w:r w:rsidR="00E30911" w:rsidRPr="00E30911">
              <w:rPr>
                <w:i/>
              </w:rPr>
              <w:t>minus</w:t>
            </w:r>
            <w:r w:rsidR="00E30911">
              <w:t xml:space="preserve"> compensation of employees)</w:t>
            </w:r>
          </w:p>
        </w:tc>
      </w:tr>
    </w:tbl>
    <w:p w:rsidR="00304A61" w:rsidRDefault="00304A61" w:rsidP="00CE11E2">
      <w:pPr>
        <w:pStyle w:val="BodyText"/>
      </w:pPr>
    </w:p>
    <w:p w:rsidR="00304A61" w:rsidRPr="008352B7" w:rsidRDefault="00304A61" w:rsidP="00CE11E2">
      <w:pPr>
        <w:pStyle w:val="BodyText"/>
      </w:pPr>
      <w:r w:rsidRPr="008352B7">
        <w:t xml:space="preserve">It should be apparent that, as the type II Leontief is equivalent to the type I Leontief but </w:t>
      </w:r>
      <w:r w:rsidRPr="008352B7">
        <w:rPr>
          <w:u w:val="single"/>
        </w:rPr>
        <w:t>also</w:t>
      </w:r>
      <w:r w:rsidRPr="008352B7">
        <w:t xml:space="preserve"> includes induced </w:t>
      </w:r>
      <w:r w:rsidR="003C3D8E">
        <w:t xml:space="preserve">(or household spending) </w:t>
      </w:r>
      <w:r w:rsidRPr="008352B7">
        <w:t xml:space="preserve">effects, each and every cell in the T2 matrix should be of equal or greater value to its T1 equivalent. </w:t>
      </w:r>
    </w:p>
    <w:p w:rsidR="00304A61" w:rsidRPr="008352B7" w:rsidRDefault="00304A61" w:rsidP="00CE11E2">
      <w:pPr>
        <w:pStyle w:val="BodyText"/>
      </w:pPr>
      <w:r w:rsidRPr="008352B7">
        <w:t>An extra check is carried out on the income multipliers. Dividing the type I income multiplier for each industry by the corresponding type II value should lead to a constant rati</w:t>
      </w:r>
      <w:r>
        <w:t>o across all industries. In 20</w:t>
      </w:r>
      <w:r w:rsidR="00D94841">
        <w:t>14</w:t>
      </w:r>
      <w:r w:rsidRPr="008352B7">
        <w:t>, this constant ratio was 0.8</w:t>
      </w:r>
      <w:r w:rsidR="00D94841">
        <w:t>8</w:t>
      </w:r>
      <w:r w:rsidRPr="008352B7">
        <w:t>.</w:t>
      </w:r>
    </w:p>
    <w:p w:rsidR="005F0C21" w:rsidRDefault="005F0C21" w:rsidP="00CE11E2">
      <w:pPr>
        <w:pStyle w:val="BodyText"/>
        <w:rPr>
          <w:rFonts w:cs="Arial"/>
        </w:rPr>
      </w:pPr>
    </w:p>
    <w:p w:rsidR="00304A61" w:rsidRPr="0047044B" w:rsidRDefault="00304A61" w:rsidP="00CE11E2">
      <w:pPr>
        <w:pStyle w:val="BodyText"/>
        <w:rPr>
          <w:rFonts w:cs="Arial"/>
        </w:rPr>
        <w:sectPr w:rsidR="00304A61" w:rsidRPr="0047044B" w:rsidSect="00AB54FF">
          <w:pgSz w:w="11906" w:h="16838" w:code="9"/>
          <w:pgMar w:top="1440" w:right="1440" w:bottom="1440" w:left="1440" w:header="720" w:footer="720" w:gutter="0"/>
          <w:cols w:space="708"/>
          <w:docGrid w:linePitch="360"/>
        </w:sectPr>
      </w:pPr>
    </w:p>
    <w:p w:rsidR="008319EF" w:rsidRPr="0047044B" w:rsidRDefault="005E05B0" w:rsidP="000158CD">
      <w:pPr>
        <w:pStyle w:val="Heading1"/>
      </w:pPr>
      <w:bookmarkStart w:id="227" w:name="_Toc290646666"/>
      <w:bookmarkStart w:id="228" w:name="_Toc290647196"/>
      <w:bookmarkStart w:id="229" w:name="_Toc290647243"/>
      <w:bookmarkStart w:id="230" w:name="_Toc292468976"/>
      <w:bookmarkStart w:id="231" w:name="_Toc497137032"/>
      <w:r w:rsidRPr="0047044B">
        <w:lastRenderedPageBreak/>
        <w:t xml:space="preserve">Annex A: </w:t>
      </w:r>
      <w:r w:rsidR="000158CD">
        <w:t>I</w:t>
      </w:r>
      <w:r w:rsidR="008319EF" w:rsidRPr="0047044B">
        <w:t>ndustry data sources</w:t>
      </w:r>
      <w:bookmarkEnd w:id="227"/>
      <w:bookmarkEnd w:id="228"/>
      <w:bookmarkEnd w:id="229"/>
      <w:bookmarkEnd w:id="230"/>
      <w:bookmarkEnd w:id="231"/>
    </w:p>
    <w:p w:rsidR="009624E5" w:rsidRDefault="00284B82" w:rsidP="009624E5">
      <w:pPr>
        <w:pStyle w:val="TableChartTitle"/>
      </w:pPr>
      <w:r w:rsidRPr="00284B82">
        <w:rPr>
          <w:noProof/>
        </w:rPr>
        <w:drawing>
          <wp:inline distT="0" distB="0" distL="0" distR="0" wp14:anchorId="7CAFCD59" wp14:editId="7F65BC46">
            <wp:extent cx="8863330" cy="3841886"/>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863330" cy="3841886"/>
                    </a:xfrm>
                    <a:prstGeom prst="rect">
                      <a:avLst/>
                    </a:prstGeom>
                    <a:noFill/>
                    <a:ln>
                      <a:noFill/>
                    </a:ln>
                  </pic:spPr>
                </pic:pic>
              </a:graphicData>
            </a:graphic>
          </wp:inline>
        </w:drawing>
      </w:r>
    </w:p>
    <w:p w:rsidR="009624E5" w:rsidRDefault="006221F1" w:rsidP="009624E5">
      <w:pPr>
        <w:pStyle w:val="TableChartFootnote"/>
        <w:spacing w:after="0"/>
      </w:pPr>
      <w:hyperlink r:id="rId64" w:history="1">
        <w:r w:rsidR="008319EF" w:rsidRPr="009624E5">
          <w:rPr>
            <w:rStyle w:val="Hyperlink"/>
          </w:rPr>
          <w:t>ABS - Annual Business Survey</w:t>
        </w:r>
      </w:hyperlink>
      <w:r w:rsidR="009624E5">
        <w:t xml:space="preserve"> </w:t>
      </w:r>
      <w:r w:rsidR="007C3002" w:rsidRPr="00F46CBE">
        <w:rPr>
          <w:vertAlign w:val="superscript"/>
        </w:rPr>
        <w:footnoteReference w:id="25"/>
      </w:r>
      <w:r w:rsidR="00E30911">
        <w:t xml:space="preserve"> </w:t>
      </w:r>
    </w:p>
    <w:p w:rsidR="00E30911" w:rsidRDefault="006221F1" w:rsidP="009624E5">
      <w:pPr>
        <w:pStyle w:val="TableChartFootnote"/>
      </w:pPr>
      <w:hyperlink r:id="rId65" w:history="1">
        <w:proofErr w:type="spellStart"/>
        <w:r w:rsidR="008319EF" w:rsidRPr="009624E5">
          <w:rPr>
            <w:rStyle w:val="Hyperlink"/>
          </w:rPr>
          <w:t>Prodcom</w:t>
        </w:r>
        <w:proofErr w:type="spellEnd"/>
        <w:r w:rsidR="008319EF" w:rsidRPr="009624E5">
          <w:rPr>
            <w:rStyle w:val="Hyperlink"/>
          </w:rPr>
          <w:t xml:space="preserve"> - Products of the European Community</w:t>
        </w:r>
      </w:hyperlink>
      <w:r w:rsidR="009624E5">
        <w:t xml:space="preserve"> </w:t>
      </w:r>
      <w:r w:rsidR="007C3002" w:rsidRPr="00F46CBE">
        <w:rPr>
          <w:vertAlign w:val="superscript"/>
        </w:rPr>
        <w:footnoteReference w:id="26"/>
      </w:r>
    </w:p>
    <w:p w:rsidR="009624E5" w:rsidRPr="009624E5" w:rsidRDefault="009624E5" w:rsidP="009624E5">
      <w:pPr>
        <w:pStyle w:val="BodyText"/>
      </w:pPr>
    </w:p>
    <w:p w:rsidR="00CC2FBE" w:rsidRDefault="00CC2FBE" w:rsidP="00E30911">
      <w:pPr>
        <w:pStyle w:val="BodyText"/>
        <w:spacing w:after="0"/>
        <w:ind w:left="0"/>
        <w:sectPr w:rsidR="00CC2FBE" w:rsidSect="005F0C21">
          <w:pgSz w:w="16838" w:h="11906" w:orient="landscape" w:code="9"/>
          <w:pgMar w:top="1440" w:right="1440" w:bottom="1440" w:left="1440" w:header="720" w:footer="720" w:gutter="0"/>
          <w:cols w:space="708"/>
          <w:docGrid w:linePitch="360"/>
        </w:sectPr>
      </w:pPr>
    </w:p>
    <w:p w:rsidR="007C3002" w:rsidRDefault="007C3002" w:rsidP="000158CD">
      <w:pPr>
        <w:pStyle w:val="Heading1"/>
      </w:pPr>
      <w:bookmarkStart w:id="232" w:name="_Toc290646667"/>
      <w:bookmarkStart w:id="233" w:name="_Toc290647197"/>
      <w:bookmarkStart w:id="234" w:name="_Toc290647244"/>
      <w:bookmarkStart w:id="235" w:name="_Toc292468977"/>
      <w:bookmarkStart w:id="236" w:name="_Toc497137033"/>
      <w:r>
        <w:lastRenderedPageBreak/>
        <w:t>Annex B</w:t>
      </w:r>
      <w:r w:rsidR="000158CD">
        <w:t>:</w:t>
      </w:r>
      <w:r>
        <w:t xml:space="preserve"> Input-Output Categories</w:t>
      </w:r>
      <w:bookmarkEnd w:id="232"/>
      <w:bookmarkEnd w:id="233"/>
      <w:bookmarkEnd w:id="234"/>
      <w:bookmarkEnd w:id="235"/>
      <w:bookmarkEnd w:id="236"/>
    </w:p>
    <w:tbl>
      <w:tblPr>
        <w:tblW w:w="13562" w:type="dxa"/>
        <w:tblInd w:w="93" w:type="dxa"/>
        <w:tblLook w:val="04A0" w:firstRow="1" w:lastRow="0" w:firstColumn="1" w:lastColumn="0" w:noHBand="0" w:noVBand="1"/>
      </w:tblPr>
      <w:tblGrid>
        <w:gridCol w:w="2420"/>
        <w:gridCol w:w="400"/>
        <w:gridCol w:w="1159"/>
        <w:gridCol w:w="6059"/>
        <w:gridCol w:w="617"/>
        <w:gridCol w:w="617"/>
        <w:gridCol w:w="617"/>
        <w:gridCol w:w="617"/>
        <w:gridCol w:w="528"/>
        <w:gridCol w:w="528"/>
      </w:tblGrid>
      <w:tr w:rsidR="00A5154D" w:rsidRPr="00A5154D" w:rsidTr="00612EB5">
        <w:trPr>
          <w:trHeight w:val="376"/>
        </w:trPr>
        <w:tc>
          <w:tcPr>
            <w:tcW w:w="2420" w:type="dxa"/>
            <w:tcBorders>
              <w:top w:val="single" w:sz="8" w:space="0" w:color="auto"/>
              <w:left w:val="nil"/>
              <w:bottom w:val="single" w:sz="8" w:space="0" w:color="auto"/>
              <w:right w:val="nil"/>
            </w:tcBorders>
            <w:shd w:val="clear" w:color="000000" w:fill="FFFFFF"/>
            <w:noWrap/>
            <w:vAlign w:val="bottom"/>
            <w:hideMark/>
          </w:tcPr>
          <w:p w:rsidR="00A5154D" w:rsidRPr="00A5154D" w:rsidRDefault="00A5154D" w:rsidP="00A5154D">
            <w:pPr>
              <w:rPr>
                <w:rFonts w:cs="Arial"/>
                <w:b/>
                <w:bCs/>
                <w:sz w:val="16"/>
                <w:szCs w:val="16"/>
              </w:rPr>
            </w:pPr>
            <w:r w:rsidRPr="00A5154D">
              <w:rPr>
                <w:rFonts w:cs="Arial"/>
                <w:b/>
                <w:bCs/>
                <w:sz w:val="16"/>
                <w:szCs w:val="16"/>
              </w:rPr>
              <w:t>SIC07 Section</w:t>
            </w:r>
          </w:p>
        </w:tc>
        <w:tc>
          <w:tcPr>
            <w:tcW w:w="400" w:type="dxa"/>
            <w:tcBorders>
              <w:top w:val="single" w:sz="8" w:space="0" w:color="auto"/>
              <w:left w:val="nil"/>
              <w:bottom w:val="single" w:sz="8" w:space="0" w:color="auto"/>
              <w:right w:val="nil"/>
            </w:tcBorders>
            <w:shd w:val="clear" w:color="000000" w:fill="FFFFFF"/>
            <w:noWrap/>
            <w:vAlign w:val="bottom"/>
            <w:hideMark/>
          </w:tcPr>
          <w:p w:rsidR="00A5154D" w:rsidRPr="00A5154D" w:rsidRDefault="00A5154D" w:rsidP="00A5154D">
            <w:pPr>
              <w:rPr>
                <w:rFonts w:cs="Arial"/>
                <w:b/>
                <w:bCs/>
                <w:sz w:val="16"/>
                <w:szCs w:val="16"/>
              </w:rPr>
            </w:pPr>
            <w:r w:rsidRPr="00A5154D">
              <w:rPr>
                <w:rFonts w:cs="Arial"/>
                <w:b/>
                <w:bCs/>
                <w:sz w:val="16"/>
                <w:szCs w:val="16"/>
              </w:rPr>
              <w:t> </w:t>
            </w:r>
          </w:p>
        </w:tc>
        <w:tc>
          <w:tcPr>
            <w:tcW w:w="7218" w:type="dxa"/>
            <w:gridSpan w:val="2"/>
            <w:tcBorders>
              <w:top w:val="single" w:sz="8" w:space="0" w:color="auto"/>
              <w:left w:val="nil"/>
              <w:bottom w:val="single" w:sz="8" w:space="0" w:color="auto"/>
              <w:right w:val="nil"/>
            </w:tcBorders>
            <w:shd w:val="clear" w:color="000000" w:fill="FFFFFF"/>
            <w:noWrap/>
            <w:vAlign w:val="bottom"/>
            <w:hideMark/>
          </w:tcPr>
          <w:p w:rsidR="00A5154D" w:rsidRPr="00A5154D" w:rsidRDefault="00A5154D" w:rsidP="00A5154D">
            <w:pPr>
              <w:rPr>
                <w:rFonts w:cs="Arial"/>
                <w:b/>
                <w:bCs/>
                <w:sz w:val="16"/>
                <w:szCs w:val="16"/>
              </w:rPr>
            </w:pPr>
            <w:r w:rsidRPr="00A5154D">
              <w:rPr>
                <w:rFonts w:cs="Arial"/>
                <w:b/>
                <w:bCs/>
                <w:sz w:val="16"/>
                <w:szCs w:val="16"/>
              </w:rPr>
              <w:t>Input-Output Classification (SIC2007)</w:t>
            </w:r>
          </w:p>
        </w:tc>
        <w:tc>
          <w:tcPr>
            <w:tcW w:w="3524" w:type="dxa"/>
            <w:gridSpan w:val="6"/>
            <w:tcBorders>
              <w:top w:val="single" w:sz="8" w:space="0" w:color="auto"/>
              <w:left w:val="nil"/>
              <w:bottom w:val="single" w:sz="8" w:space="0" w:color="auto"/>
              <w:right w:val="nil"/>
            </w:tcBorders>
            <w:shd w:val="clear" w:color="000000" w:fill="FFFFFF"/>
            <w:vAlign w:val="bottom"/>
            <w:hideMark/>
          </w:tcPr>
          <w:p w:rsidR="00A5154D" w:rsidRPr="00A5154D" w:rsidRDefault="00A5154D" w:rsidP="00A5154D">
            <w:pPr>
              <w:rPr>
                <w:rFonts w:cs="Arial"/>
                <w:b/>
                <w:bCs/>
                <w:sz w:val="16"/>
                <w:szCs w:val="16"/>
              </w:rPr>
            </w:pPr>
            <w:r w:rsidRPr="00A5154D">
              <w:rPr>
                <w:rFonts w:cs="Arial"/>
                <w:b/>
                <w:bCs/>
                <w:sz w:val="16"/>
                <w:szCs w:val="16"/>
              </w:rPr>
              <w:t>Std. Industrial Classification of Economic Activities 2007</w:t>
            </w:r>
          </w:p>
        </w:tc>
      </w:tr>
      <w:tr w:rsidR="00A5154D" w:rsidRPr="00A5154D" w:rsidTr="00612EB5">
        <w:trPr>
          <w:trHeight w:val="225"/>
        </w:trPr>
        <w:tc>
          <w:tcPr>
            <w:tcW w:w="2420" w:type="dxa"/>
            <w:vMerge w:val="restart"/>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Agriculture, forestry and fishing</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A</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01</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Agriculture, hunting and related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vMerge/>
            <w:tcBorders>
              <w:top w:val="nil"/>
              <w:left w:val="nil"/>
              <w:bottom w:val="nil"/>
              <w:right w:val="nil"/>
            </w:tcBorders>
            <w:vAlign w:val="center"/>
            <w:hideMark/>
          </w:tcPr>
          <w:p w:rsidR="00A5154D" w:rsidRPr="00A5154D" w:rsidRDefault="00A5154D" w:rsidP="00A5154D">
            <w:pPr>
              <w:rPr>
                <w:rFonts w:cs="Arial"/>
                <w:b/>
                <w:bCs/>
                <w:sz w:val="16"/>
                <w:szCs w:val="16"/>
              </w:rPr>
            </w:pP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02.1, 02.4</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Silviculture and other forestry activities and support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02.1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02.4</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02.2-3</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Logging and gathering</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02.2</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02.3</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03.1</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Marine and freshwater fishing</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03.1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03.2</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Marine and freshwater aquaculture</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03.2</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Mining and quarrying</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B</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05</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Coal and lignite</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05</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06-08</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Crude petroleum, natural gas and metal ores; other mining and quarrying</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06</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07</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08</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09</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Mining support services</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09</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Manufacturing</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C</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10.1</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Preserved meat and meat products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10.1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10.2-3</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Processed and preserved fish, crustaceans, molluscs, fruit and vegetables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10.2</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10.3</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10.4-5</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Dairy products, vegetable and animal oils and fats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10.4</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10.5</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10.6</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Grain mill products, starches and starch products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10.6</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10.7</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Bakery and farinaceous products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10.7</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10.8</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Other food products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10.8</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10.9</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Prepared animal feeds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10.9</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11.01-04</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Alcoholic beverages - spirits, wines and cider</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11.01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11.02</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11.03</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11.04</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11.05-06</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Alcoholic beverages - beer and malt</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11.05</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11.06</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11.07</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Soft drinks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11.07</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12</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Tobacco products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12</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13</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Textiles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13</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14</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Wearing apparel</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14</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15</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Leather and related products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15</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450"/>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16</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Wood and of products of wood and cork, except furniture; articles of straw and plaiting materials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16</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17</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Paper and paper products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17</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18</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Printing and recording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18</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19, 20B</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Coke, refined petroleum products and petrochemicals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19</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20.14</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20.16</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20.17</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20.6</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20.3</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Paints, varnishes and similar coatings, printing ink and mastics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20.3</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450"/>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20.4</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Soap and detergents, cleaning and polishing preparations, perfumes and toilet preparations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20.4</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20.5</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Other chemical products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20.5</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20AC</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Industrial gases, inorganic chemicals, fertilisers, dyestuffs and agrochemicals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20.11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20.12</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20.13</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20.15</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20.2</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21</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Basic pharmaceutical products and pharmaceutical preparations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612EB5" w:rsidRPr="00A5154D" w:rsidTr="00612EB5">
        <w:trPr>
          <w:trHeight w:val="406"/>
        </w:trPr>
        <w:tc>
          <w:tcPr>
            <w:tcW w:w="2420" w:type="dxa"/>
            <w:tcBorders>
              <w:top w:val="single" w:sz="8" w:space="0" w:color="auto"/>
              <w:left w:val="nil"/>
              <w:bottom w:val="single" w:sz="8" w:space="0" w:color="auto"/>
              <w:right w:val="nil"/>
            </w:tcBorders>
            <w:shd w:val="clear" w:color="000000" w:fill="FFFFFF"/>
            <w:noWrap/>
            <w:vAlign w:val="bottom"/>
            <w:hideMark/>
          </w:tcPr>
          <w:p w:rsidR="00612EB5" w:rsidRPr="00A5154D" w:rsidRDefault="00612EB5" w:rsidP="00DD6F30">
            <w:pPr>
              <w:rPr>
                <w:rFonts w:cs="Arial"/>
                <w:b/>
                <w:bCs/>
                <w:sz w:val="16"/>
                <w:szCs w:val="16"/>
              </w:rPr>
            </w:pPr>
            <w:r w:rsidRPr="00A5154D">
              <w:rPr>
                <w:rFonts w:cs="Arial"/>
                <w:b/>
                <w:bCs/>
                <w:sz w:val="16"/>
                <w:szCs w:val="16"/>
              </w:rPr>
              <w:lastRenderedPageBreak/>
              <w:t>SIC07 Section</w:t>
            </w:r>
          </w:p>
        </w:tc>
        <w:tc>
          <w:tcPr>
            <w:tcW w:w="400" w:type="dxa"/>
            <w:tcBorders>
              <w:top w:val="single" w:sz="8" w:space="0" w:color="auto"/>
              <w:left w:val="nil"/>
              <w:bottom w:val="single" w:sz="8" w:space="0" w:color="auto"/>
              <w:right w:val="nil"/>
            </w:tcBorders>
            <w:shd w:val="clear" w:color="000000" w:fill="FFFFFF"/>
            <w:noWrap/>
            <w:vAlign w:val="bottom"/>
            <w:hideMark/>
          </w:tcPr>
          <w:p w:rsidR="00612EB5" w:rsidRPr="00A5154D" w:rsidRDefault="00612EB5" w:rsidP="00DD6F30">
            <w:pPr>
              <w:rPr>
                <w:rFonts w:cs="Arial"/>
                <w:b/>
                <w:bCs/>
                <w:sz w:val="16"/>
                <w:szCs w:val="16"/>
              </w:rPr>
            </w:pPr>
            <w:r w:rsidRPr="00A5154D">
              <w:rPr>
                <w:rFonts w:cs="Arial"/>
                <w:b/>
                <w:bCs/>
                <w:sz w:val="16"/>
                <w:szCs w:val="16"/>
              </w:rPr>
              <w:t> </w:t>
            </w:r>
          </w:p>
        </w:tc>
        <w:tc>
          <w:tcPr>
            <w:tcW w:w="7218" w:type="dxa"/>
            <w:gridSpan w:val="2"/>
            <w:tcBorders>
              <w:top w:val="single" w:sz="8" w:space="0" w:color="auto"/>
              <w:left w:val="nil"/>
              <w:bottom w:val="single" w:sz="8" w:space="0" w:color="auto"/>
              <w:right w:val="nil"/>
            </w:tcBorders>
            <w:shd w:val="clear" w:color="000000" w:fill="FFFFFF"/>
            <w:noWrap/>
            <w:vAlign w:val="bottom"/>
            <w:hideMark/>
          </w:tcPr>
          <w:p w:rsidR="00612EB5" w:rsidRPr="00A5154D" w:rsidRDefault="00612EB5" w:rsidP="00DD6F30">
            <w:pPr>
              <w:rPr>
                <w:rFonts w:cs="Arial"/>
                <w:b/>
                <w:bCs/>
                <w:sz w:val="16"/>
                <w:szCs w:val="16"/>
              </w:rPr>
            </w:pPr>
            <w:r w:rsidRPr="00A5154D">
              <w:rPr>
                <w:rFonts w:cs="Arial"/>
                <w:b/>
                <w:bCs/>
                <w:sz w:val="16"/>
                <w:szCs w:val="16"/>
              </w:rPr>
              <w:t>Input-Output Classification (SIC2007)</w:t>
            </w:r>
          </w:p>
        </w:tc>
        <w:tc>
          <w:tcPr>
            <w:tcW w:w="3524" w:type="dxa"/>
            <w:gridSpan w:val="6"/>
            <w:tcBorders>
              <w:top w:val="single" w:sz="8" w:space="0" w:color="auto"/>
              <w:left w:val="nil"/>
              <w:bottom w:val="single" w:sz="8" w:space="0" w:color="auto"/>
              <w:right w:val="nil"/>
            </w:tcBorders>
            <w:shd w:val="clear" w:color="000000" w:fill="FFFFFF"/>
            <w:vAlign w:val="bottom"/>
            <w:hideMark/>
          </w:tcPr>
          <w:p w:rsidR="00612EB5" w:rsidRPr="00A5154D" w:rsidRDefault="00612EB5" w:rsidP="00DD6F30">
            <w:pPr>
              <w:rPr>
                <w:rFonts w:cs="Arial"/>
                <w:b/>
                <w:bCs/>
                <w:sz w:val="16"/>
                <w:szCs w:val="16"/>
              </w:rPr>
            </w:pPr>
            <w:r w:rsidRPr="00A5154D">
              <w:rPr>
                <w:rFonts w:cs="Arial"/>
                <w:b/>
                <w:bCs/>
                <w:sz w:val="16"/>
                <w:szCs w:val="16"/>
              </w:rPr>
              <w:t>Std. Industrial Classification of Economic Activities 2007</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22</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Rubber and plastic products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22</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23.5-6</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Manufacture of cement, lime, plaster and articles of concrete, cement and plaster</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23.5</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23.6</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23OTHER</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Glass, refractory, clay, other porcelain and ceramic, stone and abrasive products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23.1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23.2</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23.3</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23.4</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23.7</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23.9</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24.1-3</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Basic iron and steel</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24.1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24.2</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24.3</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24.4-5</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Other basic metals and casting</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24.4</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24.5</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25</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Fabricated metal products, including weapons and ammunition</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25</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26</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Computer, electronic and optical products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26</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27</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Electrical equipment</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27</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28</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Machinery and equipment not elsewhere classified</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28</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29</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Motor vehicles, trailers and semi-trailers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29</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30</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Other transport equipment</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30</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31</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Furniture</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32</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Other manufactured goods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32</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33</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Repair and installation of machinery and equipment</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33</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Electricity, Gas, Steam and</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D</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35.1</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Electricity; generation, transmission, distribution and trade</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35.1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450"/>
        </w:trPr>
        <w:tc>
          <w:tcPr>
            <w:tcW w:w="242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Air Conditioning supply</w:t>
            </w: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35.2-3</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Gas; distribution of gaseous fuels through mains; steam and air conditioning supply</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35.2</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35.3</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vMerge w:val="restart"/>
            <w:tcBorders>
              <w:top w:val="nil"/>
              <w:left w:val="nil"/>
              <w:bottom w:val="single" w:sz="4" w:space="0" w:color="000000"/>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Water Supply, Sewerage, Waste; Management and Remediation</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E</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36, 37</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Natural water treatment and supply services, sewerage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36</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37</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vMerge/>
            <w:tcBorders>
              <w:top w:val="nil"/>
              <w:left w:val="nil"/>
              <w:bottom w:val="single" w:sz="4" w:space="0" w:color="000000"/>
              <w:right w:val="nil"/>
            </w:tcBorders>
            <w:vAlign w:val="center"/>
            <w:hideMark/>
          </w:tcPr>
          <w:p w:rsidR="00A5154D" w:rsidRPr="00A5154D" w:rsidRDefault="00A5154D" w:rsidP="00A5154D">
            <w:pPr>
              <w:rPr>
                <w:rFonts w:cs="Arial"/>
                <w:b/>
                <w:bCs/>
                <w:sz w:val="16"/>
                <w:szCs w:val="16"/>
              </w:rPr>
            </w:pP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38, 39</w:t>
            </w:r>
          </w:p>
        </w:tc>
        <w:tc>
          <w:tcPr>
            <w:tcW w:w="6059" w:type="dxa"/>
            <w:vMerge w:val="restart"/>
            <w:tcBorders>
              <w:top w:val="nil"/>
              <w:left w:val="nil"/>
              <w:bottom w:val="single" w:sz="4" w:space="0" w:color="000000"/>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Waste collection, treatment and disposal; materials recovery; remediation and other waste management</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38</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39</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vMerge/>
            <w:tcBorders>
              <w:top w:val="nil"/>
              <w:left w:val="nil"/>
              <w:bottom w:val="single" w:sz="4" w:space="0" w:color="000000"/>
              <w:right w:val="nil"/>
            </w:tcBorders>
            <w:vAlign w:val="center"/>
            <w:hideMark/>
          </w:tcPr>
          <w:p w:rsidR="00A5154D" w:rsidRPr="00A5154D" w:rsidRDefault="00A5154D" w:rsidP="00A5154D">
            <w:pPr>
              <w:rPr>
                <w:rFonts w:cs="Arial"/>
                <w:b/>
                <w:bCs/>
                <w:sz w:val="16"/>
                <w:szCs w:val="16"/>
              </w:rPr>
            </w:pP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059" w:type="dxa"/>
            <w:vMerge/>
            <w:tcBorders>
              <w:top w:val="nil"/>
              <w:left w:val="nil"/>
              <w:bottom w:val="single" w:sz="4" w:space="0" w:color="000000"/>
              <w:right w:val="nil"/>
            </w:tcBorders>
            <w:vAlign w:val="center"/>
            <w:hideMark/>
          </w:tcPr>
          <w:p w:rsidR="00A5154D" w:rsidRPr="00A5154D" w:rsidRDefault="00A5154D" w:rsidP="00A5154D">
            <w:pPr>
              <w:rPr>
                <w:rFonts w:cs="Arial"/>
                <w:sz w:val="16"/>
                <w:szCs w:val="16"/>
              </w:rPr>
            </w:pP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Construction</w:t>
            </w: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F</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41-43</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Construction</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41</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42</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43</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vMerge w:val="restart"/>
            <w:tcBorders>
              <w:top w:val="nil"/>
              <w:left w:val="nil"/>
              <w:bottom w:val="single" w:sz="4" w:space="0" w:color="000000"/>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Wholesale and Retail Trade; Repair of Motor Vehicles and Motorcycles</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G</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45</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Wholesale and retail trade and repair services of motor vehicles and motorcycles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45</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vMerge/>
            <w:tcBorders>
              <w:top w:val="nil"/>
              <w:left w:val="nil"/>
              <w:bottom w:val="single" w:sz="4" w:space="0" w:color="000000"/>
              <w:right w:val="nil"/>
            </w:tcBorders>
            <w:vAlign w:val="center"/>
            <w:hideMark/>
          </w:tcPr>
          <w:p w:rsidR="00A5154D" w:rsidRPr="00A5154D" w:rsidRDefault="00A5154D" w:rsidP="00A5154D">
            <w:pPr>
              <w:rPr>
                <w:rFonts w:cs="Arial"/>
                <w:b/>
                <w:bCs/>
                <w:sz w:val="16"/>
                <w:szCs w:val="16"/>
              </w:rPr>
            </w:pP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46</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Wholesale trade services, except of motor vehicles and motorcycles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46</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vMerge/>
            <w:tcBorders>
              <w:top w:val="nil"/>
              <w:left w:val="nil"/>
              <w:bottom w:val="single" w:sz="4" w:space="0" w:color="000000"/>
              <w:right w:val="nil"/>
            </w:tcBorders>
            <w:vAlign w:val="center"/>
            <w:hideMark/>
          </w:tcPr>
          <w:p w:rsidR="00A5154D" w:rsidRPr="00A5154D" w:rsidRDefault="00A5154D" w:rsidP="00A5154D">
            <w:pPr>
              <w:rPr>
                <w:rFonts w:cs="Arial"/>
                <w:b/>
                <w:bCs/>
                <w:sz w:val="16"/>
                <w:szCs w:val="16"/>
              </w:rPr>
            </w:pP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47</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Retail trade services, except of motor vehicles and motorcycles</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47</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noWrap/>
            <w:hideMark/>
          </w:tcPr>
          <w:p w:rsidR="00A5154D" w:rsidRPr="00A5154D" w:rsidRDefault="00A5154D" w:rsidP="00A5154D">
            <w:pPr>
              <w:rPr>
                <w:rFonts w:cs="Arial"/>
                <w:b/>
                <w:bCs/>
                <w:sz w:val="16"/>
                <w:szCs w:val="16"/>
              </w:rPr>
            </w:pPr>
            <w:r w:rsidRPr="00A5154D">
              <w:rPr>
                <w:rFonts w:cs="Arial"/>
                <w:b/>
                <w:bCs/>
                <w:sz w:val="16"/>
                <w:szCs w:val="16"/>
              </w:rPr>
              <w:t>Transportation and Storage</w:t>
            </w:r>
          </w:p>
        </w:tc>
        <w:tc>
          <w:tcPr>
            <w:tcW w:w="400" w:type="dxa"/>
            <w:tcBorders>
              <w:top w:val="nil"/>
              <w:left w:val="nil"/>
              <w:bottom w:val="nil"/>
              <w:right w:val="nil"/>
            </w:tcBorders>
            <w:shd w:val="clear" w:color="000000" w:fill="FFFFFF"/>
            <w:noWrap/>
            <w:hideMark/>
          </w:tcPr>
          <w:p w:rsidR="00A5154D" w:rsidRPr="00A5154D" w:rsidRDefault="00A5154D" w:rsidP="00A5154D">
            <w:pPr>
              <w:rPr>
                <w:rFonts w:cs="Arial"/>
                <w:b/>
                <w:bCs/>
                <w:sz w:val="16"/>
                <w:szCs w:val="16"/>
              </w:rPr>
            </w:pPr>
            <w:r w:rsidRPr="00A5154D">
              <w:rPr>
                <w:rFonts w:cs="Arial"/>
                <w:b/>
                <w:bCs/>
                <w:sz w:val="16"/>
                <w:szCs w:val="16"/>
              </w:rPr>
              <w:t>H</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49.1-2</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Rail transport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49.1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49.2</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450"/>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49.3-5</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Land transport services and transport services via pipelines, excluding rail transport</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49.3</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49.4</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49.5</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50</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Water transport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50</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51</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Air transport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51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52</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Warehousing and support services for transportation</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52</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53</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Postal and courier services</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53</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xml:space="preserve">Accommodation and Food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I</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55</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Accommodation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55</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Service activities</w:t>
            </w: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56</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Food and beverage serving services</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56</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vMerge w:val="restart"/>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Information and Communication</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J</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58</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Publishing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58</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450"/>
        </w:trPr>
        <w:tc>
          <w:tcPr>
            <w:tcW w:w="2420" w:type="dxa"/>
            <w:vMerge/>
            <w:tcBorders>
              <w:top w:val="nil"/>
              <w:left w:val="nil"/>
              <w:bottom w:val="nil"/>
              <w:right w:val="nil"/>
            </w:tcBorders>
            <w:vAlign w:val="center"/>
            <w:hideMark/>
          </w:tcPr>
          <w:p w:rsidR="00A5154D" w:rsidRPr="00A5154D" w:rsidRDefault="00A5154D" w:rsidP="00A5154D">
            <w:pPr>
              <w:rPr>
                <w:rFonts w:cs="Arial"/>
                <w:b/>
                <w:bCs/>
                <w:sz w:val="16"/>
                <w:szCs w:val="16"/>
              </w:rPr>
            </w:pP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59 &amp; 60</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Motion picture, video and TV programme production services, sound recording &amp; music publishing; 'Programming and broadcasting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59</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60</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61</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Telecommunications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612EB5" w:rsidRPr="00A5154D" w:rsidTr="00612EB5">
        <w:trPr>
          <w:trHeight w:val="406"/>
        </w:trPr>
        <w:tc>
          <w:tcPr>
            <w:tcW w:w="2420" w:type="dxa"/>
            <w:tcBorders>
              <w:top w:val="single" w:sz="8" w:space="0" w:color="auto"/>
              <w:left w:val="nil"/>
              <w:bottom w:val="single" w:sz="8" w:space="0" w:color="auto"/>
              <w:right w:val="nil"/>
            </w:tcBorders>
            <w:shd w:val="clear" w:color="000000" w:fill="FFFFFF"/>
            <w:noWrap/>
            <w:vAlign w:val="bottom"/>
            <w:hideMark/>
          </w:tcPr>
          <w:p w:rsidR="00612EB5" w:rsidRPr="00A5154D" w:rsidRDefault="00612EB5" w:rsidP="00DD6F30">
            <w:pPr>
              <w:rPr>
                <w:rFonts w:cs="Arial"/>
                <w:b/>
                <w:bCs/>
                <w:sz w:val="16"/>
                <w:szCs w:val="16"/>
              </w:rPr>
            </w:pPr>
            <w:r w:rsidRPr="00A5154D">
              <w:rPr>
                <w:rFonts w:cs="Arial"/>
                <w:b/>
                <w:bCs/>
                <w:sz w:val="16"/>
                <w:szCs w:val="16"/>
              </w:rPr>
              <w:lastRenderedPageBreak/>
              <w:t>SIC07 Section</w:t>
            </w:r>
          </w:p>
        </w:tc>
        <w:tc>
          <w:tcPr>
            <w:tcW w:w="400" w:type="dxa"/>
            <w:tcBorders>
              <w:top w:val="single" w:sz="8" w:space="0" w:color="auto"/>
              <w:left w:val="nil"/>
              <w:bottom w:val="single" w:sz="8" w:space="0" w:color="auto"/>
              <w:right w:val="nil"/>
            </w:tcBorders>
            <w:shd w:val="clear" w:color="000000" w:fill="FFFFFF"/>
            <w:noWrap/>
            <w:vAlign w:val="bottom"/>
            <w:hideMark/>
          </w:tcPr>
          <w:p w:rsidR="00612EB5" w:rsidRPr="00A5154D" w:rsidRDefault="00612EB5" w:rsidP="00DD6F30">
            <w:pPr>
              <w:rPr>
                <w:rFonts w:cs="Arial"/>
                <w:b/>
                <w:bCs/>
                <w:sz w:val="16"/>
                <w:szCs w:val="16"/>
              </w:rPr>
            </w:pPr>
            <w:r w:rsidRPr="00A5154D">
              <w:rPr>
                <w:rFonts w:cs="Arial"/>
                <w:b/>
                <w:bCs/>
                <w:sz w:val="16"/>
                <w:szCs w:val="16"/>
              </w:rPr>
              <w:t> </w:t>
            </w:r>
          </w:p>
        </w:tc>
        <w:tc>
          <w:tcPr>
            <w:tcW w:w="7218" w:type="dxa"/>
            <w:gridSpan w:val="2"/>
            <w:tcBorders>
              <w:top w:val="single" w:sz="8" w:space="0" w:color="auto"/>
              <w:left w:val="nil"/>
              <w:bottom w:val="single" w:sz="8" w:space="0" w:color="auto"/>
              <w:right w:val="nil"/>
            </w:tcBorders>
            <w:shd w:val="clear" w:color="000000" w:fill="FFFFFF"/>
            <w:noWrap/>
            <w:vAlign w:val="bottom"/>
            <w:hideMark/>
          </w:tcPr>
          <w:p w:rsidR="00612EB5" w:rsidRPr="00A5154D" w:rsidRDefault="00612EB5" w:rsidP="00DD6F30">
            <w:pPr>
              <w:rPr>
                <w:rFonts w:cs="Arial"/>
                <w:b/>
                <w:bCs/>
                <w:sz w:val="16"/>
                <w:szCs w:val="16"/>
              </w:rPr>
            </w:pPr>
            <w:r w:rsidRPr="00A5154D">
              <w:rPr>
                <w:rFonts w:cs="Arial"/>
                <w:b/>
                <w:bCs/>
                <w:sz w:val="16"/>
                <w:szCs w:val="16"/>
              </w:rPr>
              <w:t>Input-Output Classification (SIC2007)</w:t>
            </w:r>
          </w:p>
        </w:tc>
        <w:tc>
          <w:tcPr>
            <w:tcW w:w="3524" w:type="dxa"/>
            <w:gridSpan w:val="6"/>
            <w:tcBorders>
              <w:top w:val="single" w:sz="8" w:space="0" w:color="auto"/>
              <w:left w:val="nil"/>
              <w:bottom w:val="single" w:sz="8" w:space="0" w:color="auto"/>
              <w:right w:val="nil"/>
            </w:tcBorders>
            <w:shd w:val="clear" w:color="000000" w:fill="FFFFFF"/>
            <w:vAlign w:val="bottom"/>
            <w:hideMark/>
          </w:tcPr>
          <w:p w:rsidR="00612EB5" w:rsidRPr="00A5154D" w:rsidRDefault="00612EB5" w:rsidP="00DD6F30">
            <w:pPr>
              <w:rPr>
                <w:rFonts w:cs="Arial"/>
                <w:b/>
                <w:bCs/>
                <w:sz w:val="16"/>
                <w:szCs w:val="16"/>
              </w:rPr>
            </w:pPr>
            <w:r w:rsidRPr="00A5154D">
              <w:rPr>
                <w:rFonts w:cs="Arial"/>
                <w:b/>
                <w:bCs/>
                <w:sz w:val="16"/>
                <w:szCs w:val="16"/>
              </w:rPr>
              <w:t>Std. Industrial Classification of Economic Activities 2007</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62</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Computer programming, consultancy and related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62</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63</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Information services</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63</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vMerge w:val="restart"/>
            <w:tcBorders>
              <w:top w:val="nil"/>
              <w:left w:val="nil"/>
              <w:bottom w:val="single" w:sz="4" w:space="0" w:color="000000"/>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Financial and Insurance activities</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K</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64</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Financial services, except insurance and pension funding</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64</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450"/>
        </w:trPr>
        <w:tc>
          <w:tcPr>
            <w:tcW w:w="2420" w:type="dxa"/>
            <w:vMerge/>
            <w:tcBorders>
              <w:top w:val="nil"/>
              <w:left w:val="nil"/>
              <w:bottom w:val="single" w:sz="4" w:space="0" w:color="000000"/>
              <w:right w:val="nil"/>
            </w:tcBorders>
            <w:vAlign w:val="center"/>
            <w:hideMark/>
          </w:tcPr>
          <w:p w:rsidR="00A5154D" w:rsidRPr="00A5154D" w:rsidRDefault="00A5154D" w:rsidP="00A5154D">
            <w:pPr>
              <w:rPr>
                <w:rFonts w:cs="Arial"/>
                <w:b/>
                <w:bCs/>
                <w:sz w:val="16"/>
                <w:szCs w:val="16"/>
              </w:rPr>
            </w:pP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65</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Insurance, reinsurance and pension funding services, except compulsory social security and pension funding</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65</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vMerge/>
            <w:tcBorders>
              <w:top w:val="nil"/>
              <w:left w:val="nil"/>
              <w:bottom w:val="single" w:sz="4" w:space="0" w:color="000000"/>
              <w:right w:val="nil"/>
            </w:tcBorders>
            <w:vAlign w:val="center"/>
            <w:hideMark/>
          </w:tcPr>
          <w:p w:rsidR="00A5154D" w:rsidRPr="00A5154D" w:rsidRDefault="00A5154D" w:rsidP="00A5154D">
            <w:pPr>
              <w:rPr>
                <w:rFonts w:cs="Arial"/>
                <w:b/>
                <w:bCs/>
                <w:sz w:val="16"/>
                <w:szCs w:val="16"/>
              </w:rPr>
            </w:pP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66</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Services auxiliary to financial services and insurance services</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66</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Real Estate activities</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L</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68.1-2</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Real estate services, excluding on a fee or contract basis and imputed rent</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68.1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68.2</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68.2IMP</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Imputed rent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68.3</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Real estate activities on a fee or contract basis</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68.3</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Professional, Scientific and</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M</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69.1</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Legal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69.1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noWrap/>
            <w:hideMark/>
          </w:tcPr>
          <w:p w:rsidR="00A5154D" w:rsidRPr="00A5154D" w:rsidRDefault="00A5154D" w:rsidP="00A5154D">
            <w:pPr>
              <w:rPr>
                <w:rFonts w:cs="Arial"/>
                <w:b/>
                <w:bCs/>
                <w:sz w:val="16"/>
                <w:szCs w:val="16"/>
              </w:rPr>
            </w:pPr>
            <w:r w:rsidRPr="00A5154D">
              <w:rPr>
                <w:rFonts w:cs="Arial"/>
                <w:b/>
                <w:bCs/>
                <w:sz w:val="16"/>
                <w:szCs w:val="16"/>
              </w:rPr>
              <w:t>Technical activities</w:t>
            </w:r>
          </w:p>
        </w:tc>
        <w:tc>
          <w:tcPr>
            <w:tcW w:w="400" w:type="dxa"/>
            <w:tcBorders>
              <w:top w:val="nil"/>
              <w:left w:val="nil"/>
              <w:bottom w:val="nil"/>
              <w:right w:val="nil"/>
            </w:tcBorders>
            <w:shd w:val="clear" w:color="000000" w:fill="FFFFFF"/>
            <w:noWrap/>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69.2</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Accounting, bookkeeping and auditing services; tax consulting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69.2</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70</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Services of head offices; management consulting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70</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71</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Architectural and engineering services; technical testing and analysis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72</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Scientific research and development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72</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73</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Advertising and market research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73</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noWrap/>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noWrap/>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74</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Other professional, scientific and technical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74</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75</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Veterinary services</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75</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Administrative and Support</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N</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77</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Rental and leasing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77</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Service activities</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78</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Employment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78</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79</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Travel agency, tour operator and other reservation services and related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79</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80</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Security and investigation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80</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81</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Services to buildings and landscape</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81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82</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Office administrative, office support and other business support services</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82</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450"/>
        </w:trPr>
        <w:tc>
          <w:tcPr>
            <w:tcW w:w="242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Public Administration and Defence</w:t>
            </w:r>
          </w:p>
        </w:tc>
        <w:tc>
          <w:tcPr>
            <w:tcW w:w="400"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b/>
                <w:bCs/>
                <w:sz w:val="16"/>
                <w:szCs w:val="16"/>
              </w:rPr>
            </w:pPr>
            <w:r w:rsidRPr="00A5154D">
              <w:rPr>
                <w:rFonts w:cs="Arial"/>
                <w:b/>
                <w:bCs/>
                <w:sz w:val="16"/>
                <w:szCs w:val="16"/>
              </w:rPr>
              <w:t>O</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84</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Public administration and defence services; compulsory social security services</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84</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Education</w:t>
            </w: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P</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85</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Education services</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85</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vMerge w:val="restart"/>
            <w:tcBorders>
              <w:top w:val="nil"/>
              <w:left w:val="nil"/>
              <w:bottom w:val="single" w:sz="4" w:space="0" w:color="000000"/>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Human Health and Social Work activities</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Q</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86</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Human health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86</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vMerge/>
            <w:tcBorders>
              <w:top w:val="nil"/>
              <w:left w:val="nil"/>
              <w:bottom w:val="single" w:sz="4" w:space="0" w:color="000000"/>
              <w:right w:val="nil"/>
            </w:tcBorders>
            <w:vAlign w:val="center"/>
            <w:hideMark/>
          </w:tcPr>
          <w:p w:rsidR="00A5154D" w:rsidRPr="00A5154D" w:rsidRDefault="00A5154D" w:rsidP="00A5154D">
            <w:pPr>
              <w:rPr>
                <w:rFonts w:cs="Arial"/>
                <w:b/>
                <w:bCs/>
                <w:sz w:val="16"/>
                <w:szCs w:val="16"/>
              </w:rPr>
            </w:pP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87, 88</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Residential care services; Social work services without accommodation</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87</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88</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xml:space="preserve">Arts, Entertainment and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R</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90</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Creative, arts and entertainment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90</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Recreation</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91</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Libraries, archives, museums and other cultural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91</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92</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Gambling and betting services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92</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93</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Sports services and amusement and recreation services</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93</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Other Service activities</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S</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94</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Services furnished by membership organisations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94</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nil"/>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95</w:t>
            </w:r>
          </w:p>
        </w:tc>
        <w:tc>
          <w:tcPr>
            <w:tcW w:w="6059" w:type="dxa"/>
            <w:tcBorders>
              <w:top w:val="nil"/>
              <w:left w:val="nil"/>
              <w:bottom w:val="nil"/>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Repair services of computers and personal and household goods</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95</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nil"/>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25"/>
        </w:trPr>
        <w:tc>
          <w:tcPr>
            <w:tcW w:w="242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400" w:type="dxa"/>
            <w:tcBorders>
              <w:top w:val="nil"/>
              <w:left w:val="nil"/>
              <w:bottom w:val="single" w:sz="4"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 </w:t>
            </w:r>
          </w:p>
        </w:tc>
        <w:tc>
          <w:tcPr>
            <w:tcW w:w="1159"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96</w:t>
            </w:r>
          </w:p>
        </w:tc>
        <w:tc>
          <w:tcPr>
            <w:tcW w:w="6059" w:type="dxa"/>
            <w:tcBorders>
              <w:top w:val="nil"/>
              <w:left w:val="nil"/>
              <w:bottom w:val="single" w:sz="4"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Other personal services</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96</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4"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r w:rsidR="00A5154D" w:rsidRPr="00A5154D" w:rsidTr="00612EB5">
        <w:trPr>
          <w:trHeight w:val="240"/>
        </w:trPr>
        <w:tc>
          <w:tcPr>
            <w:tcW w:w="2420" w:type="dxa"/>
            <w:tcBorders>
              <w:top w:val="nil"/>
              <w:left w:val="nil"/>
              <w:bottom w:val="single" w:sz="8"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Activities of Households</w:t>
            </w:r>
          </w:p>
        </w:tc>
        <w:tc>
          <w:tcPr>
            <w:tcW w:w="400" w:type="dxa"/>
            <w:tcBorders>
              <w:top w:val="nil"/>
              <w:left w:val="nil"/>
              <w:bottom w:val="single" w:sz="8" w:space="0" w:color="auto"/>
              <w:right w:val="nil"/>
            </w:tcBorders>
            <w:shd w:val="clear" w:color="000000" w:fill="FFFFFF"/>
            <w:hideMark/>
          </w:tcPr>
          <w:p w:rsidR="00A5154D" w:rsidRPr="00A5154D" w:rsidRDefault="00A5154D" w:rsidP="00A5154D">
            <w:pPr>
              <w:rPr>
                <w:rFonts w:cs="Arial"/>
                <w:b/>
                <w:bCs/>
                <w:sz w:val="16"/>
                <w:szCs w:val="16"/>
              </w:rPr>
            </w:pPr>
            <w:r w:rsidRPr="00A5154D">
              <w:rPr>
                <w:rFonts w:cs="Arial"/>
                <w:b/>
                <w:bCs/>
                <w:sz w:val="16"/>
                <w:szCs w:val="16"/>
              </w:rPr>
              <w:t>T</w:t>
            </w:r>
          </w:p>
        </w:tc>
        <w:tc>
          <w:tcPr>
            <w:tcW w:w="1159" w:type="dxa"/>
            <w:tcBorders>
              <w:top w:val="nil"/>
              <w:left w:val="nil"/>
              <w:bottom w:val="single" w:sz="8"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97</w:t>
            </w:r>
          </w:p>
        </w:tc>
        <w:tc>
          <w:tcPr>
            <w:tcW w:w="6059" w:type="dxa"/>
            <w:tcBorders>
              <w:top w:val="nil"/>
              <w:left w:val="nil"/>
              <w:bottom w:val="single" w:sz="8" w:space="0" w:color="auto"/>
              <w:right w:val="nil"/>
            </w:tcBorders>
            <w:shd w:val="clear" w:color="000000" w:fill="FFFFFF"/>
            <w:hideMark/>
          </w:tcPr>
          <w:p w:rsidR="00A5154D" w:rsidRPr="00A5154D" w:rsidRDefault="00A5154D" w:rsidP="00A5154D">
            <w:pPr>
              <w:rPr>
                <w:rFonts w:cs="Arial"/>
                <w:sz w:val="16"/>
                <w:szCs w:val="16"/>
              </w:rPr>
            </w:pPr>
            <w:r w:rsidRPr="00A5154D">
              <w:rPr>
                <w:rFonts w:cs="Arial"/>
                <w:sz w:val="16"/>
                <w:szCs w:val="16"/>
              </w:rPr>
              <w:t>Services of households as employers of domestic personnel</w:t>
            </w:r>
          </w:p>
        </w:tc>
        <w:tc>
          <w:tcPr>
            <w:tcW w:w="617" w:type="dxa"/>
            <w:tcBorders>
              <w:top w:val="nil"/>
              <w:left w:val="nil"/>
              <w:bottom w:val="single" w:sz="8"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97</w:t>
            </w:r>
          </w:p>
        </w:tc>
        <w:tc>
          <w:tcPr>
            <w:tcW w:w="617" w:type="dxa"/>
            <w:tcBorders>
              <w:top w:val="nil"/>
              <w:left w:val="nil"/>
              <w:bottom w:val="single" w:sz="8"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8"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617" w:type="dxa"/>
            <w:tcBorders>
              <w:top w:val="nil"/>
              <w:left w:val="nil"/>
              <w:bottom w:val="single" w:sz="8"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8"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c>
          <w:tcPr>
            <w:tcW w:w="528" w:type="dxa"/>
            <w:tcBorders>
              <w:top w:val="nil"/>
              <w:left w:val="nil"/>
              <w:bottom w:val="single" w:sz="8" w:space="0" w:color="auto"/>
              <w:right w:val="nil"/>
            </w:tcBorders>
            <w:shd w:val="clear" w:color="000000" w:fill="FFFFFF"/>
            <w:noWrap/>
            <w:hideMark/>
          </w:tcPr>
          <w:p w:rsidR="00A5154D" w:rsidRPr="00A5154D" w:rsidRDefault="00A5154D" w:rsidP="00A5154D">
            <w:pPr>
              <w:rPr>
                <w:rFonts w:cs="Arial"/>
                <w:sz w:val="16"/>
                <w:szCs w:val="16"/>
              </w:rPr>
            </w:pPr>
            <w:r w:rsidRPr="00A5154D">
              <w:rPr>
                <w:rFonts w:cs="Arial"/>
                <w:sz w:val="16"/>
                <w:szCs w:val="16"/>
              </w:rPr>
              <w:t> </w:t>
            </w:r>
          </w:p>
        </w:tc>
      </w:tr>
    </w:tbl>
    <w:p w:rsidR="005E0C64" w:rsidRPr="005E0C64" w:rsidRDefault="005E0C64" w:rsidP="00612EB5"/>
    <w:sectPr w:rsidR="005E0C64" w:rsidRPr="005E0C64" w:rsidSect="00F27A8A">
      <w:pgSz w:w="16838" w:h="11906" w:orient="landscape"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497" w:rsidRDefault="00C35497">
      <w:r>
        <w:separator/>
      </w:r>
    </w:p>
  </w:endnote>
  <w:endnote w:type="continuationSeparator" w:id="0">
    <w:p w:rsidR="00C35497" w:rsidRDefault="00C3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lan-News">
    <w:panose1 w:val="02000503030000020004"/>
    <w:charset w:val="00"/>
    <w:family w:val="auto"/>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97" w:rsidRDefault="00C35497" w:rsidP="000158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5497" w:rsidRDefault="00C35497" w:rsidP="00FB09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97" w:rsidRPr="0067486A" w:rsidRDefault="00C35497" w:rsidP="000158CD">
    <w:pPr>
      <w:pStyle w:val="Footer"/>
      <w:tabs>
        <w:tab w:val="clear" w:pos="4153"/>
        <w:tab w:val="clear" w:pos="8306"/>
        <w:tab w:val="center" w:pos="4500"/>
        <w:tab w:val="right" w:pos="9000"/>
      </w:tabs>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97" w:rsidRDefault="00C35497" w:rsidP="000158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21F1">
      <w:rPr>
        <w:rStyle w:val="PageNumber"/>
        <w:noProof/>
      </w:rPr>
      <w:t>19</w:t>
    </w:r>
    <w:r>
      <w:rPr>
        <w:rStyle w:val="PageNumber"/>
      </w:rPr>
      <w:fldChar w:fldCharType="end"/>
    </w:r>
  </w:p>
  <w:p w:rsidR="00C35497" w:rsidRPr="0067486A" w:rsidRDefault="00C35497" w:rsidP="000158CD">
    <w:pPr>
      <w:pStyle w:val="Footer"/>
      <w:tabs>
        <w:tab w:val="clear" w:pos="4153"/>
        <w:tab w:val="clear" w:pos="8306"/>
        <w:tab w:val="center" w:pos="4500"/>
        <w:tab w:val="right" w:pos="9000"/>
      </w:tabs>
      <w:ind w:right="36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97" w:rsidRDefault="00C35497" w:rsidP="00FB09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21F1">
      <w:rPr>
        <w:rStyle w:val="PageNumber"/>
        <w:noProof/>
      </w:rPr>
      <w:t>26</w:t>
    </w:r>
    <w:r>
      <w:rPr>
        <w:rStyle w:val="PageNumber"/>
      </w:rPr>
      <w:fldChar w:fldCharType="end"/>
    </w:r>
  </w:p>
  <w:p w:rsidR="00C35497" w:rsidRDefault="00C35497" w:rsidP="00FB097D">
    <w:pPr>
      <w:tabs>
        <w:tab w:val="center" w:pos="4500"/>
        <w:tab w:val="right" w:pos="900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497" w:rsidRDefault="00C35497">
      <w:r>
        <w:separator/>
      </w:r>
    </w:p>
  </w:footnote>
  <w:footnote w:type="continuationSeparator" w:id="0">
    <w:p w:rsidR="00C35497" w:rsidRDefault="00C35497">
      <w:r>
        <w:continuationSeparator/>
      </w:r>
    </w:p>
  </w:footnote>
  <w:footnote w:id="1">
    <w:p w:rsidR="00C35497" w:rsidRPr="003A26E1" w:rsidRDefault="00C35497" w:rsidP="00E636B1">
      <w:pPr>
        <w:pStyle w:val="FootnoteText"/>
        <w:rPr>
          <w:sz w:val="16"/>
          <w:szCs w:val="16"/>
        </w:rPr>
      </w:pPr>
      <w:r w:rsidRPr="003A26E1">
        <w:rPr>
          <w:rStyle w:val="FootnoteReference"/>
          <w:sz w:val="16"/>
          <w:szCs w:val="16"/>
        </w:rPr>
        <w:footnoteRef/>
      </w:r>
      <w:r w:rsidRPr="003A26E1">
        <w:rPr>
          <w:sz w:val="16"/>
          <w:szCs w:val="16"/>
        </w:rPr>
        <w:t xml:space="preserve"> </w:t>
      </w:r>
      <w:hyperlink r:id="rId1" w:history="1">
        <w:r w:rsidRPr="003A26E1">
          <w:rPr>
            <w:rStyle w:val="Hyperlink"/>
            <w:sz w:val="16"/>
            <w:szCs w:val="16"/>
          </w:rPr>
          <w:t>ec.europa.eu/</w:t>
        </w:r>
        <w:proofErr w:type="spellStart"/>
        <w:r w:rsidRPr="003A26E1">
          <w:rPr>
            <w:rStyle w:val="Hyperlink"/>
            <w:sz w:val="16"/>
            <w:szCs w:val="16"/>
          </w:rPr>
          <w:t>eurostat</w:t>
        </w:r>
        <w:proofErr w:type="spellEnd"/>
        <w:r w:rsidRPr="003A26E1">
          <w:rPr>
            <w:rStyle w:val="Hyperlink"/>
            <w:sz w:val="16"/>
            <w:szCs w:val="16"/>
          </w:rPr>
          <w:t>/web/esa-2010</w:t>
        </w:r>
      </w:hyperlink>
    </w:p>
  </w:footnote>
  <w:footnote w:id="2">
    <w:p w:rsidR="00C35497" w:rsidRPr="003A26E1" w:rsidRDefault="00C35497" w:rsidP="00E636B1">
      <w:pPr>
        <w:pStyle w:val="FootnoteText"/>
        <w:rPr>
          <w:sz w:val="16"/>
          <w:szCs w:val="16"/>
        </w:rPr>
      </w:pPr>
      <w:r w:rsidRPr="003A26E1">
        <w:rPr>
          <w:rStyle w:val="FootnoteReference"/>
          <w:sz w:val="16"/>
          <w:szCs w:val="16"/>
        </w:rPr>
        <w:footnoteRef/>
      </w:r>
      <w:r w:rsidRPr="003A26E1">
        <w:rPr>
          <w:sz w:val="16"/>
          <w:szCs w:val="16"/>
        </w:rPr>
        <w:t xml:space="preserve"> </w:t>
      </w:r>
      <w:hyperlink r:id="rId2" w:history="1">
        <w:r w:rsidRPr="003A26E1">
          <w:rPr>
            <w:rStyle w:val="Hyperlink"/>
            <w:sz w:val="16"/>
            <w:szCs w:val="16"/>
          </w:rPr>
          <w:t>www.ons.gov.uk/ons/guide-method/classifications/current-standard-classifications/standard-industrial-classification/index.html</w:t>
        </w:r>
      </w:hyperlink>
      <w:r w:rsidRPr="003A26E1">
        <w:rPr>
          <w:sz w:val="16"/>
          <w:szCs w:val="16"/>
        </w:rPr>
        <w:t xml:space="preserve"> </w:t>
      </w:r>
    </w:p>
  </w:footnote>
  <w:footnote w:id="3">
    <w:p w:rsidR="00C35497" w:rsidRPr="003A26E1" w:rsidRDefault="00C35497">
      <w:pPr>
        <w:pStyle w:val="FootnoteText"/>
        <w:rPr>
          <w:sz w:val="16"/>
          <w:szCs w:val="16"/>
        </w:rPr>
      </w:pPr>
      <w:r w:rsidRPr="003A26E1">
        <w:rPr>
          <w:rStyle w:val="FootnoteReference"/>
          <w:sz w:val="16"/>
          <w:szCs w:val="16"/>
        </w:rPr>
        <w:footnoteRef/>
      </w:r>
      <w:r w:rsidRPr="003A26E1">
        <w:rPr>
          <w:sz w:val="16"/>
          <w:szCs w:val="16"/>
        </w:rPr>
        <w:t xml:space="preserve"> </w:t>
      </w:r>
      <w:hyperlink r:id="rId3" w:history="1">
        <w:r w:rsidRPr="003A26E1">
          <w:rPr>
            <w:rStyle w:val="Hyperlink"/>
            <w:sz w:val="16"/>
            <w:szCs w:val="16"/>
          </w:rPr>
          <w:t>www.statisticsauthority.gov.uk/assessment/assessment/assessment-reports/assessment-report-300---supply-and-use-tables-and-input-output-tables.pdf</w:t>
        </w:r>
      </w:hyperlink>
      <w:r w:rsidRPr="003A26E1">
        <w:rPr>
          <w:sz w:val="16"/>
          <w:szCs w:val="16"/>
        </w:rPr>
        <w:t xml:space="preserve"> </w:t>
      </w:r>
    </w:p>
  </w:footnote>
  <w:footnote w:id="4">
    <w:p w:rsidR="00C35497" w:rsidRPr="003A26E1" w:rsidRDefault="00C35497">
      <w:pPr>
        <w:pStyle w:val="FootnoteText"/>
        <w:rPr>
          <w:sz w:val="16"/>
          <w:szCs w:val="16"/>
        </w:rPr>
      </w:pPr>
      <w:r w:rsidRPr="003A26E1">
        <w:rPr>
          <w:rStyle w:val="FootnoteReference"/>
          <w:sz w:val="16"/>
          <w:szCs w:val="16"/>
        </w:rPr>
        <w:footnoteRef/>
      </w:r>
      <w:r w:rsidRPr="003A26E1">
        <w:rPr>
          <w:sz w:val="16"/>
          <w:szCs w:val="16"/>
        </w:rPr>
        <w:t xml:space="preserve"> </w:t>
      </w:r>
      <w:hyperlink r:id="rId4" w:history="1">
        <w:r w:rsidRPr="003A26E1">
          <w:rPr>
            <w:rStyle w:val="Hyperlink"/>
            <w:sz w:val="16"/>
            <w:szCs w:val="16"/>
          </w:rPr>
          <w:t>www.statisticsauthority.gov.uk/reports---correspondence/correspondence/letter-from-ed-humpherson-to-roger-halliday-150615.pdf</w:t>
        </w:r>
      </w:hyperlink>
      <w:r w:rsidRPr="003A26E1">
        <w:rPr>
          <w:sz w:val="16"/>
          <w:szCs w:val="16"/>
        </w:rPr>
        <w:t xml:space="preserve"> </w:t>
      </w:r>
    </w:p>
  </w:footnote>
  <w:footnote w:id="5">
    <w:p w:rsidR="00C35497" w:rsidRPr="003A26E1" w:rsidRDefault="00C35497">
      <w:pPr>
        <w:pStyle w:val="FootnoteText"/>
        <w:rPr>
          <w:sz w:val="16"/>
          <w:szCs w:val="16"/>
        </w:rPr>
      </w:pPr>
      <w:r w:rsidRPr="003A26E1">
        <w:rPr>
          <w:rStyle w:val="FootnoteReference"/>
          <w:sz w:val="16"/>
          <w:szCs w:val="16"/>
        </w:rPr>
        <w:footnoteRef/>
      </w:r>
      <w:r w:rsidRPr="003A26E1">
        <w:rPr>
          <w:sz w:val="16"/>
          <w:szCs w:val="16"/>
        </w:rPr>
        <w:t xml:space="preserve"> </w:t>
      </w:r>
      <w:hyperlink r:id="rId5" w:history="1">
        <w:r w:rsidRPr="003A26E1">
          <w:rPr>
            <w:rStyle w:val="Hyperlink"/>
            <w:sz w:val="16"/>
            <w:szCs w:val="16"/>
          </w:rPr>
          <w:t>www.scotland.gov.uk/Topics/Statistics/About</w:t>
        </w:r>
      </w:hyperlink>
      <w:r w:rsidRPr="003A26E1">
        <w:rPr>
          <w:sz w:val="16"/>
          <w:szCs w:val="16"/>
        </w:rPr>
        <w:t xml:space="preserve"> </w:t>
      </w:r>
    </w:p>
  </w:footnote>
  <w:footnote w:id="6">
    <w:p w:rsidR="00C35497" w:rsidRPr="003A26E1" w:rsidRDefault="00C35497" w:rsidP="00516139">
      <w:pPr>
        <w:pStyle w:val="Footer"/>
        <w:rPr>
          <w:szCs w:val="16"/>
        </w:rPr>
      </w:pPr>
      <w:r w:rsidRPr="003A26E1">
        <w:rPr>
          <w:rStyle w:val="FootnoteReference"/>
          <w:szCs w:val="16"/>
        </w:rPr>
        <w:footnoteRef/>
      </w:r>
      <w:r w:rsidRPr="003A26E1">
        <w:rPr>
          <w:szCs w:val="16"/>
        </w:rPr>
        <w:t xml:space="preserve"> Office for National Statistics (ONS), United Kingdom Input-Output Analyses, 2006 Edition (Mahajan, S): </w:t>
      </w:r>
      <w:hyperlink r:id="rId6" w:history="1">
        <w:r w:rsidRPr="003A26E1">
          <w:rPr>
            <w:rStyle w:val="Hyperlink"/>
            <w:szCs w:val="16"/>
          </w:rPr>
          <w:t>www.ons.gov.uk/ons/guide-method/method-quality/specific/economy/input-output--uk-national-accounts/archive-data/uk-input-output-analyses--2006-edition.pdf</w:t>
        </w:r>
      </w:hyperlink>
    </w:p>
  </w:footnote>
  <w:footnote w:id="7">
    <w:p w:rsidR="00C35497" w:rsidRDefault="00C35497" w:rsidP="00516139">
      <w:pPr>
        <w:pStyle w:val="Footer"/>
      </w:pPr>
      <w:r>
        <w:rPr>
          <w:rStyle w:val="FootnoteReference"/>
        </w:rPr>
        <w:footnoteRef/>
      </w:r>
      <w:r>
        <w:t xml:space="preserve"> </w:t>
      </w:r>
      <w:hyperlink r:id="rId7" w:history="1">
        <w:r w:rsidRPr="001B53D0">
          <w:rPr>
            <w:rStyle w:val="Hyperlink"/>
          </w:rPr>
          <w:t>www.gov.scot/input-output</w:t>
        </w:r>
      </w:hyperlink>
    </w:p>
  </w:footnote>
  <w:footnote w:id="8">
    <w:p w:rsidR="00C35497" w:rsidRPr="003A26E1" w:rsidRDefault="00C35497" w:rsidP="00516139">
      <w:pPr>
        <w:pStyle w:val="Footer"/>
        <w:rPr>
          <w:rStyle w:val="FooterChar"/>
          <w:szCs w:val="16"/>
        </w:rPr>
      </w:pPr>
      <w:r w:rsidRPr="003A26E1">
        <w:rPr>
          <w:rStyle w:val="FootnoteReference"/>
          <w:szCs w:val="16"/>
        </w:rPr>
        <w:footnoteRef/>
      </w:r>
      <w:r w:rsidRPr="003A26E1">
        <w:rPr>
          <w:szCs w:val="16"/>
        </w:rPr>
        <w:t xml:space="preserve"> </w:t>
      </w:r>
      <w:hyperlink r:id="rId8" w:history="1">
        <w:r w:rsidRPr="003A26E1">
          <w:rPr>
            <w:rStyle w:val="Hyperlink"/>
            <w:szCs w:val="16"/>
          </w:rPr>
          <w:t>www.gov.scot/input-output</w:t>
        </w:r>
      </w:hyperlink>
    </w:p>
  </w:footnote>
  <w:footnote w:id="9">
    <w:p w:rsidR="00C35497" w:rsidRPr="003A26E1" w:rsidRDefault="00C35497" w:rsidP="00516139">
      <w:pPr>
        <w:pStyle w:val="Footer"/>
        <w:rPr>
          <w:szCs w:val="16"/>
        </w:rPr>
      </w:pPr>
      <w:r w:rsidRPr="003A26E1">
        <w:rPr>
          <w:rStyle w:val="FootnoteReference"/>
          <w:szCs w:val="16"/>
        </w:rPr>
        <w:footnoteRef/>
      </w:r>
      <w:r w:rsidRPr="003A26E1">
        <w:rPr>
          <w:szCs w:val="16"/>
        </w:rPr>
        <w:t xml:space="preserve"> </w:t>
      </w:r>
      <w:hyperlink r:id="rId9" w:history="1">
        <w:r w:rsidRPr="003A26E1">
          <w:rPr>
            <w:rStyle w:val="Hyperlink"/>
            <w:szCs w:val="16"/>
          </w:rPr>
          <w:t>www.gov.scot/input-output</w:t>
        </w:r>
      </w:hyperlink>
    </w:p>
  </w:footnote>
  <w:footnote w:id="10">
    <w:p w:rsidR="00C35497" w:rsidRPr="003A26E1" w:rsidRDefault="00C35497" w:rsidP="00516139">
      <w:pPr>
        <w:pStyle w:val="Footer"/>
        <w:rPr>
          <w:szCs w:val="16"/>
        </w:rPr>
      </w:pPr>
      <w:r w:rsidRPr="003A26E1">
        <w:rPr>
          <w:rStyle w:val="FootnoteReference"/>
          <w:szCs w:val="16"/>
        </w:rPr>
        <w:footnoteRef/>
      </w:r>
      <w:r w:rsidRPr="003A26E1">
        <w:rPr>
          <w:szCs w:val="16"/>
        </w:rPr>
        <w:t xml:space="preserve"> </w:t>
      </w:r>
      <w:hyperlink r:id="rId10" w:history="1">
        <w:r w:rsidRPr="003A26E1">
          <w:rPr>
            <w:rStyle w:val="Hyperlink"/>
            <w:szCs w:val="16"/>
          </w:rPr>
          <w:t>ec.europa.eu/</w:t>
        </w:r>
        <w:proofErr w:type="spellStart"/>
        <w:r w:rsidRPr="003A26E1">
          <w:rPr>
            <w:rStyle w:val="Hyperlink"/>
            <w:szCs w:val="16"/>
          </w:rPr>
          <w:t>eurostat</w:t>
        </w:r>
        <w:proofErr w:type="spellEnd"/>
        <w:r w:rsidRPr="003A26E1">
          <w:rPr>
            <w:rStyle w:val="Hyperlink"/>
            <w:szCs w:val="16"/>
          </w:rPr>
          <w:t>/web/</w:t>
        </w:r>
        <w:proofErr w:type="spellStart"/>
        <w:r w:rsidRPr="003A26E1">
          <w:rPr>
            <w:rStyle w:val="Hyperlink"/>
            <w:szCs w:val="16"/>
          </w:rPr>
          <w:t>prodcom</w:t>
        </w:r>
        <w:proofErr w:type="spellEnd"/>
        <w:r w:rsidRPr="003A26E1">
          <w:rPr>
            <w:rStyle w:val="Hyperlink"/>
            <w:szCs w:val="16"/>
          </w:rPr>
          <w:t>/overview</w:t>
        </w:r>
      </w:hyperlink>
    </w:p>
  </w:footnote>
  <w:footnote w:id="11">
    <w:p w:rsidR="00C35497" w:rsidRPr="006812AC" w:rsidRDefault="00C35497" w:rsidP="00516139">
      <w:pPr>
        <w:pStyle w:val="Footer"/>
      </w:pPr>
      <w:r>
        <w:rPr>
          <w:rStyle w:val="FootnoteReference"/>
        </w:rPr>
        <w:footnoteRef/>
      </w:r>
      <w:r>
        <w:t xml:space="preserve"> For further details of market and non-market producers and estimating their output see</w:t>
      </w:r>
      <w:r w:rsidRPr="00516139">
        <w:t xml:space="preserve"> </w:t>
      </w:r>
      <w:r>
        <w:t xml:space="preserve">Page 189, United Kingdom Input-Output Analyses, 2006 Edition page (Mahajan, S): </w:t>
      </w:r>
      <w:hyperlink r:id="rId11" w:history="1">
        <w:r w:rsidRPr="00E50A18">
          <w:rPr>
            <w:rStyle w:val="Hyperlink"/>
          </w:rPr>
          <w:t>http://www.ons.gov.uk/ons/guide-method/method-quality/specific/economy/input-output--uk-national-accounts/archive-data/uk-input-output-analyses--2006-edition.pdf</w:t>
        </w:r>
      </w:hyperlink>
    </w:p>
  </w:footnote>
  <w:footnote w:id="12">
    <w:p w:rsidR="00C35497" w:rsidRPr="003A26E1" w:rsidRDefault="00C35497" w:rsidP="00516139">
      <w:pPr>
        <w:pStyle w:val="Footer"/>
        <w:rPr>
          <w:szCs w:val="16"/>
        </w:rPr>
      </w:pPr>
      <w:r w:rsidRPr="003A26E1">
        <w:rPr>
          <w:rStyle w:val="FootnoteReference"/>
          <w:szCs w:val="16"/>
        </w:rPr>
        <w:footnoteRef/>
      </w:r>
      <w:r w:rsidRPr="003A26E1">
        <w:rPr>
          <w:szCs w:val="16"/>
        </w:rPr>
        <w:t xml:space="preserve"> </w:t>
      </w:r>
      <w:hyperlink r:id="rId12" w:history="1">
        <w:r w:rsidRPr="003A26E1">
          <w:rPr>
            <w:rStyle w:val="Hyperlink"/>
            <w:szCs w:val="16"/>
          </w:rPr>
          <w:t>www.gov.scot/snap</w:t>
        </w:r>
      </w:hyperlink>
    </w:p>
  </w:footnote>
  <w:footnote w:id="13">
    <w:p w:rsidR="00C35497" w:rsidRPr="003A26E1" w:rsidRDefault="00C35497" w:rsidP="00516139">
      <w:pPr>
        <w:pStyle w:val="Footer"/>
        <w:rPr>
          <w:szCs w:val="16"/>
        </w:rPr>
      </w:pPr>
      <w:r w:rsidRPr="003A26E1">
        <w:rPr>
          <w:rStyle w:val="FootnoteReference"/>
          <w:szCs w:val="16"/>
        </w:rPr>
        <w:footnoteRef/>
      </w:r>
      <w:r w:rsidRPr="003A26E1">
        <w:rPr>
          <w:szCs w:val="16"/>
        </w:rPr>
        <w:t xml:space="preserve"> </w:t>
      </w:r>
      <w:hyperlink r:id="rId13" w:history="1">
        <w:r w:rsidRPr="003A26E1">
          <w:rPr>
            <w:rStyle w:val="Hyperlink"/>
            <w:szCs w:val="16"/>
          </w:rPr>
          <w:t>www.ons.gov.uk/ons/rel/input-output/input-output-supply-and-use-tables/2014-edition/rft-detailed-sut-1997-2012.xls</w:t>
        </w:r>
      </w:hyperlink>
      <w:r w:rsidRPr="003A26E1">
        <w:rPr>
          <w:szCs w:val="16"/>
        </w:rPr>
        <w:t xml:space="preserve">  </w:t>
      </w:r>
    </w:p>
  </w:footnote>
  <w:footnote w:id="14">
    <w:p w:rsidR="00C35497" w:rsidRPr="003A26E1" w:rsidRDefault="00C35497">
      <w:pPr>
        <w:pStyle w:val="FootnoteText"/>
        <w:rPr>
          <w:sz w:val="16"/>
          <w:szCs w:val="16"/>
        </w:rPr>
      </w:pPr>
      <w:r w:rsidRPr="003A26E1">
        <w:rPr>
          <w:rStyle w:val="FootnoteReference"/>
          <w:sz w:val="16"/>
          <w:szCs w:val="16"/>
        </w:rPr>
        <w:footnoteRef/>
      </w:r>
      <w:r w:rsidRPr="003A26E1">
        <w:rPr>
          <w:sz w:val="16"/>
          <w:szCs w:val="16"/>
        </w:rPr>
        <w:t xml:space="preserve"> </w:t>
      </w:r>
      <w:hyperlink r:id="rId14" w:history="1">
        <w:r w:rsidRPr="003A26E1">
          <w:rPr>
            <w:rStyle w:val="Hyperlink"/>
            <w:sz w:val="16"/>
            <w:szCs w:val="16"/>
          </w:rPr>
          <w:t>www.scotland.gov.uk/publications/2013/01/5652/downloads</w:t>
        </w:r>
      </w:hyperlink>
      <w:r w:rsidRPr="003A26E1">
        <w:rPr>
          <w:sz w:val="16"/>
          <w:szCs w:val="16"/>
        </w:rPr>
        <w:t xml:space="preserve"> </w:t>
      </w:r>
    </w:p>
  </w:footnote>
  <w:footnote w:id="15">
    <w:p w:rsidR="00C35497" w:rsidRPr="003A26E1" w:rsidRDefault="00C35497" w:rsidP="00AD7A29">
      <w:pPr>
        <w:pStyle w:val="Footer"/>
        <w:rPr>
          <w:szCs w:val="16"/>
        </w:rPr>
      </w:pPr>
      <w:r w:rsidRPr="003A26E1">
        <w:rPr>
          <w:rStyle w:val="FootnoteReference"/>
          <w:szCs w:val="16"/>
        </w:rPr>
        <w:footnoteRef/>
      </w:r>
      <w:r w:rsidRPr="003A26E1">
        <w:rPr>
          <w:szCs w:val="16"/>
        </w:rPr>
        <w:t xml:space="preserve"> </w:t>
      </w:r>
      <w:hyperlink r:id="rId15" w:history="1">
        <w:r w:rsidRPr="003A26E1">
          <w:rPr>
            <w:rStyle w:val="Hyperlink"/>
            <w:szCs w:val="16"/>
          </w:rPr>
          <w:t>www.gov.scot/Topics/Statistics/Browse/Economy/Exports/GCSIntroduction</w:t>
        </w:r>
      </w:hyperlink>
    </w:p>
  </w:footnote>
  <w:footnote w:id="16">
    <w:p w:rsidR="00C35497" w:rsidRDefault="00C35497">
      <w:pPr>
        <w:pStyle w:val="FootnoteText"/>
      </w:pPr>
      <w:r>
        <w:rPr>
          <w:rStyle w:val="FootnoteReference"/>
        </w:rPr>
        <w:footnoteRef/>
      </w:r>
      <w:r>
        <w:t xml:space="preserve"> Social transfers in kind market production can in principle be provided by the NPISH sector, but the amount involved is negligible and therefore treated as zero.</w:t>
      </w:r>
    </w:p>
  </w:footnote>
  <w:footnote w:id="17">
    <w:p w:rsidR="00C35497" w:rsidRPr="00DD3704" w:rsidRDefault="00C35497" w:rsidP="00516139">
      <w:pPr>
        <w:pStyle w:val="Footer"/>
        <w:rPr>
          <w:szCs w:val="16"/>
        </w:rPr>
      </w:pPr>
      <w:r>
        <w:rPr>
          <w:rStyle w:val="FootnoteReference"/>
        </w:rPr>
        <w:footnoteRef/>
      </w:r>
      <w:r>
        <w:t xml:space="preserve"> </w:t>
      </w:r>
      <w:hyperlink r:id="rId16" w:history="1">
        <w:r w:rsidRPr="00544B87">
          <w:rPr>
            <w:rStyle w:val="Hyperlink"/>
            <w:szCs w:val="16"/>
          </w:rPr>
          <w:t>www.ons.gov.uk/ons/taxonomy/index.html?nscl=Regional+Accounts</w:t>
        </w:r>
      </w:hyperlink>
    </w:p>
  </w:footnote>
  <w:footnote w:id="18">
    <w:p w:rsidR="00C35497" w:rsidRPr="00DD3704" w:rsidRDefault="00C35497" w:rsidP="002E188E">
      <w:pPr>
        <w:pStyle w:val="Footer"/>
        <w:rPr>
          <w:szCs w:val="16"/>
        </w:rPr>
      </w:pPr>
      <w:r w:rsidRPr="00DD3704">
        <w:rPr>
          <w:rStyle w:val="FootnoteReference"/>
          <w:szCs w:val="16"/>
        </w:rPr>
        <w:footnoteRef/>
      </w:r>
      <w:r w:rsidRPr="00DD3704">
        <w:rPr>
          <w:szCs w:val="16"/>
        </w:rPr>
        <w:t xml:space="preserve"> </w:t>
      </w:r>
      <w:hyperlink r:id="rId17" w:history="1">
        <w:r w:rsidRPr="00544B87">
          <w:rPr>
            <w:rStyle w:val="Hyperlink"/>
            <w:szCs w:val="16"/>
          </w:rPr>
          <w:t>www.gov.scot/Topics/Statistics/Browse/Economy/ScotStat/comms</w:t>
        </w:r>
      </w:hyperlink>
    </w:p>
  </w:footnote>
  <w:footnote w:id="19">
    <w:p w:rsidR="00C35497" w:rsidRPr="00CD7D96" w:rsidRDefault="00C35497" w:rsidP="00516139">
      <w:pPr>
        <w:pStyle w:val="Footer"/>
      </w:pPr>
      <w:r>
        <w:rPr>
          <w:rStyle w:val="FootnoteReference"/>
        </w:rPr>
        <w:footnoteRef/>
      </w:r>
      <w:r>
        <w:t xml:space="preserve"> </w:t>
      </w:r>
      <w:hyperlink r:id="rId18" w:history="1">
        <w:r w:rsidRPr="00544B87">
          <w:rPr>
            <w:rStyle w:val="Hyperlink"/>
          </w:rPr>
          <w:t>www.gov.scot/Topics/Statistics/Browse/Economy/GERS</w:t>
        </w:r>
      </w:hyperlink>
      <w:r>
        <w:t xml:space="preserve"> </w:t>
      </w:r>
    </w:p>
  </w:footnote>
  <w:footnote w:id="20">
    <w:p w:rsidR="00C35497" w:rsidRDefault="00C35497" w:rsidP="00516139">
      <w:pPr>
        <w:pStyle w:val="Footer"/>
      </w:pPr>
      <w:r>
        <w:rPr>
          <w:rStyle w:val="FootnoteReference"/>
        </w:rPr>
        <w:footnoteRef/>
      </w:r>
      <w:r>
        <w:t xml:space="preserve"> The treatment of import duties differs from that of other product taxes, and is dealt with in the section on imports.</w:t>
      </w:r>
    </w:p>
  </w:footnote>
  <w:footnote w:id="21">
    <w:p w:rsidR="00C35497" w:rsidRPr="00146296" w:rsidRDefault="00C35497">
      <w:pPr>
        <w:pStyle w:val="FootnoteText"/>
        <w:rPr>
          <w:sz w:val="16"/>
          <w:szCs w:val="16"/>
        </w:rPr>
      </w:pPr>
      <w:r w:rsidRPr="00146296">
        <w:rPr>
          <w:rStyle w:val="FootnoteReference"/>
          <w:sz w:val="16"/>
          <w:szCs w:val="16"/>
        </w:rPr>
        <w:footnoteRef/>
      </w:r>
      <w:r w:rsidRPr="00146296">
        <w:rPr>
          <w:sz w:val="16"/>
          <w:szCs w:val="16"/>
        </w:rPr>
        <w:t xml:space="preserve"> </w:t>
      </w:r>
      <w:hyperlink r:id="rId19" w:history="1">
        <w:r w:rsidRPr="00146296">
          <w:rPr>
            <w:rStyle w:val="Hyperlink"/>
            <w:sz w:val="16"/>
            <w:szCs w:val="16"/>
          </w:rPr>
          <w:t>http://ec.europa.eu/eurostat/en/web/products-manuals-and-guidelines/-/KS-RA-07-013</w:t>
        </w:r>
      </w:hyperlink>
      <w:r w:rsidRPr="00146296">
        <w:rPr>
          <w:sz w:val="16"/>
          <w:szCs w:val="16"/>
        </w:rPr>
        <w:t xml:space="preserve"> </w:t>
      </w:r>
    </w:p>
  </w:footnote>
  <w:footnote w:id="22">
    <w:p w:rsidR="00C35497" w:rsidRPr="0037611B" w:rsidRDefault="00C35497" w:rsidP="003E1287">
      <w:pPr>
        <w:rPr>
          <w:sz w:val="16"/>
          <w:szCs w:val="16"/>
        </w:rPr>
      </w:pPr>
      <w:r w:rsidRPr="0037611B">
        <w:rPr>
          <w:rStyle w:val="FootnoteReference"/>
          <w:sz w:val="16"/>
          <w:szCs w:val="16"/>
        </w:rPr>
        <w:footnoteRef/>
      </w:r>
      <w:r w:rsidRPr="0037611B">
        <w:rPr>
          <w:sz w:val="16"/>
          <w:szCs w:val="16"/>
        </w:rPr>
        <w:t xml:space="preserve"> Note that </w:t>
      </w:r>
      <m:oMath>
        <m:acc>
          <m:accPr>
            <m:ctrlPr>
              <w:rPr>
                <w:rFonts w:ascii="Cambria Math" w:hAnsi="Cambria Math"/>
                <w:b/>
                <w:sz w:val="16"/>
                <w:szCs w:val="16"/>
              </w:rPr>
            </m:ctrlPr>
          </m:accPr>
          <m:e>
            <m:sSub>
              <m:sSubPr>
                <m:ctrlPr>
                  <w:rPr>
                    <w:rFonts w:ascii="Cambria Math" w:hAnsi="Cambria Math"/>
                    <w:b/>
                    <w:sz w:val="16"/>
                    <w:szCs w:val="16"/>
                  </w:rPr>
                </m:ctrlPr>
              </m:sSubPr>
              <m:e>
                <m:r>
                  <m:rPr>
                    <m:sty m:val="b"/>
                  </m:rPr>
                  <w:rPr>
                    <w:rFonts w:ascii="Cambria Math" w:hAnsi="Cambria Math"/>
                    <w:sz w:val="16"/>
                    <w:szCs w:val="16"/>
                  </w:rPr>
                  <m:t>g</m:t>
                </m:r>
              </m:e>
              <m:sub>
                <m:r>
                  <m:rPr>
                    <m:sty m:val="b"/>
                  </m:rPr>
                  <w:rPr>
                    <w:rFonts w:ascii="Cambria Math" w:hAnsi="Cambria Math"/>
                    <w:sz w:val="16"/>
                    <w:szCs w:val="16"/>
                  </w:rPr>
                  <m:t>2</m:t>
                </m:r>
              </m:sub>
            </m:sSub>
            <m:ctrlPr>
              <w:rPr>
                <w:rFonts w:ascii="Cambria Math" w:hAnsi="Cambria Math"/>
                <w:b/>
                <w:i/>
                <w:sz w:val="16"/>
                <w:szCs w:val="16"/>
              </w:rPr>
            </m:ctrlPr>
          </m:e>
        </m:acc>
      </m:oMath>
      <w:r w:rsidRPr="0037611B">
        <w:rPr>
          <w:sz w:val="16"/>
          <w:szCs w:val="16"/>
        </w:rPr>
        <w:t xml:space="preserve"> may be singular, and the inverse therefore does not exist. In this case </w:t>
      </w:r>
      <m:oMath>
        <m:sSup>
          <m:sSupPr>
            <m:ctrlPr>
              <w:rPr>
                <w:rFonts w:ascii="Cambria Math" w:hAnsi="Cambria Math"/>
                <w:b/>
                <w:i/>
                <w:sz w:val="16"/>
                <w:szCs w:val="16"/>
              </w:rPr>
            </m:ctrlPr>
          </m:sSupPr>
          <m:e>
            <m:acc>
              <m:accPr>
                <m:ctrlPr>
                  <w:rPr>
                    <w:rFonts w:ascii="Cambria Math" w:hAnsi="Cambria Math"/>
                    <w:b/>
                    <w:sz w:val="16"/>
                    <w:szCs w:val="16"/>
                  </w:rPr>
                </m:ctrlPr>
              </m:accPr>
              <m:e>
                <m:sSub>
                  <m:sSubPr>
                    <m:ctrlPr>
                      <w:rPr>
                        <w:rFonts w:ascii="Cambria Math" w:hAnsi="Cambria Math"/>
                        <w:b/>
                        <w:sz w:val="16"/>
                        <w:szCs w:val="16"/>
                      </w:rPr>
                    </m:ctrlPr>
                  </m:sSubPr>
                  <m:e>
                    <m:r>
                      <m:rPr>
                        <m:sty m:val="b"/>
                      </m:rPr>
                      <w:rPr>
                        <w:rFonts w:ascii="Cambria Math" w:hAnsi="Cambria Math"/>
                        <w:sz w:val="16"/>
                        <w:szCs w:val="16"/>
                      </w:rPr>
                      <m:t>g</m:t>
                    </m:r>
                  </m:e>
                  <m:sub>
                    <m:r>
                      <m:rPr>
                        <m:sty m:val="b"/>
                      </m:rPr>
                      <w:rPr>
                        <w:rFonts w:ascii="Cambria Math" w:hAnsi="Cambria Math"/>
                        <w:sz w:val="16"/>
                        <w:szCs w:val="16"/>
                      </w:rPr>
                      <m:t>2</m:t>
                    </m:r>
                  </m:sub>
                </m:sSub>
                <m:ctrlPr>
                  <w:rPr>
                    <w:rFonts w:ascii="Cambria Math" w:hAnsi="Cambria Math"/>
                    <w:b/>
                    <w:i/>
                    <w:sz w:val="16"/>
                    <w:szCs w:val="16"/>
                  </w:rPr>
                </m:ctrlPr>
              </m:e>
            </m:acc>
          </m:e>
          <m:sup>
            <m:r>
              <m:rPr>
                <m:sty m:val="bi"/>
              </m:rPr>
              <w:rPr>
                <w:rFonts w:ascii="Cambria Math" w:hAnsi="Cambria Math"/>
                <w:sz w:val="16"/>
                <w:szCs w:val="16"/>
              </w:rPr>
              <m:t>+</m:t>
            </m:r>
          </m:sup>
        </m:sSup>
      </m:oMath>
      <w:r w:rsidRPr="0037611B">
        <w:rPr>
          <w:sz w:val="16"/>
          <w:szCs w:val="16"/>
        </w:rPr>
        <w:t xml:space="preserve">, formed by replacing each non-zero element on the diagonal of </w:t>
      </w:r>
      <m:oMath>
        <m:acc>
          <m:accPr>
            <m:ctrlPr>
              <w:rPr>
                <w:rFonts w:ascii="Cambria Math" w:hAnsi="Cambria Math"/>
                <w:b/>
                <w:sz w:val="16"/>
                <w:szCs w:val="16"/>
              </w:rPr>
            </m:ctrlPr>
          </m:accPr>
          <m:e>
            <m:r>
              <m:rPr>
                <m:sty m:val="b"/>
              </m:rPr>
              <w:rPr>
                <w:rFonts w:ascii="Cambria Math" w:hAnsi="Cambria Math"/>
                <w:sz w:val="16"/>
                <w:szCs w:val="16"/>
              </w:rPr>
              <m:t>g</m:t>
            </m:r>
            <m:ctrlPr>
              <w:rPr>
                <w:rFonts w:ascii="Cambria Math" w:hAnsi="Cambria Math"/>
                <w:b/>
                <w:i/>
                <w:sz w:val="16"/>
                <w:szCs w:val="16"/>
              </w:rPr>
            </m:ctrlPr>
          </m:e>
        </m:acc>
        <m:r>
          <m:rPr>
            <m:sty m:val="bi"/>
          </m:rPr>
          <w:rPr>
            <w:rFonts w:ascii="Cambria Math" w:hAnsi="Cambria Math"/>
            <w:sz w:val="16"/>
            <w:szCs w:val="16"/>
          </w:rPr>
          <m:t xml:space="preserve"> </m:t>
        </m:r>
      </m:oMath>
      <w:r w:rsidRPr="0037611B">
        <w:rPr>
          <w:sz w:val="16"/>
          <w:szCs w:val="16"/>
        </w:rPr>
        <w:t>with its inverse while leaving zeroes in place, can be used instead.  Alternatively,</w:t>
      </w:r>
      <m:oMath>
        <m:r>
          <m:rPr>
            <m:sty m:val="b"/>
          </m:rPr>
          <w:rPr>
            <w:rFonts w:ascii="Cambria Math" w:hAnsi="Cambria Math"/>
            <w:sz w:val="16"/>
            <w:szCs w:val="16"/>
          </w:rPr>
          <m:t xml:space="preserve"> </m:t>
        </m:r>
        <m:sSub>
          <m:sSubPr>
            <m:ctrlPr>
              <w:rPr>
                <w:rFonts w:ascii="Cambria Math" w:hAnsi="Cambria Math"/>
                <w:b/>
                <w:sz w:val="16"/>
                <w:szCs w:val="16"/>
              </w:rPr>
            </m:ctrlPr>
          </m:sSubPr>
          <m:e>
            <m:r>
              <m:rPr>
                <m:sty m:val="b"/>
              </m:rPr>
              <w:rPr>
                <w:rFonts w:ascii="Cambria Math" w:hAnsi="Cambria Math"/>
                <w:sz w:val="16"/>
                <w:szCs w:val="16"/>
              </w:rPr>
              <m:t>T</m:t>
            </m:r>
          </m:e>
          <m:sub>
            <m:r>
              <m:rPr>
                <m:sty m:val="b"/>
              </m:rPr>
              <w:rPr>
                <w:rFonts w:ascii="Cambria Math" w:hAnsi="Cambria Math"/>
                <w:sz w:val="16"/>
                <w:szCs w:val="16"/>
              </w:rPr>
              <m:t>H</m:t>
            </m:r>
          </m:sub>
        </m:sSub>
      </m:oMath>
      <w:r w:rsidRPr="0037611B">
        <w:rPr>
          <w:sz w:val="16"/>
          <w:szCs w:val="16"/>
        </w:rPr>
        <w:t xml:space="preserve"> can be written in such a way as to avoid the need to take an inverse of </w:t>
      </w:r>
      <m:oMath>
        <m:acc>
          <m:accPr>
            <m:ctrlPr>
              <w:rPr>
                <w:rFonts w:ascii="Cambria Math" w:hAnsi="Cambria Math"/>
                <w:b/>
                <w:sz w:val="16"/>
                <w:szCs w:val="16"/>
              </w:rPr>
            </m:ctrlPr>
          </m:accPr>
          <m:e>
            <m:sSub>
              <m:sSubPr>
                <m:ctrlPr>
                  <w:rPr>
                    <w:rFonts w:ascii="Cambria Math" w:hAnsi="Cambria Math"/>
                    <w:b/>
                    <w:sz w:val="16"/>
                    <w:szCs w:val="16"/>
                  </w:rPr>
                </m:ctrlPr>
              </m:sSubPr>
              <m:e>
                <m:r>
                  <m:rPr>
                    <m:sty m:val="b"/>
                  </m:rPr>
                  <w:rPr>
                    <w:rFonts w:ascii="Cambria Math" w:hAnsi="Cambria Math"/>
                    <w:sz w:val="16"/>
                    <w:szCs w:val="16"/>
                  </w:rPr>
                  <m:t>g</m:t>
                </m:r>
              </m:e>
              <m:sub>
                <m:r>
                  <m:rPr>
                    <m:sty m:val="b"/>
                  </m:rPr>
                  <w:rPr>
                    <w:rFonts w:ascii="Cambria Math" w:hAnsi="Cambria Math"/>
                    <w:sz w:val="16"/>
                    <w:szCs w:val="16"/>
                  </w:rPr>
                  <m:t>2</m:t>
                </m:r>
              </m:sub>
            </m:sSub>
            <m:ctrlPr>
              <w:rPr>
                <w:rFonts w:ascii="Cambria Math" w:hAnsi="Cambria Math"/>
                <w:b/>
                <w:i/>
                <w:sz w:val="16"/>
                <w:szCs w:val="16"/>
              </w:rPr>
            </m:ctrlPr>
          </m:e>
        </m:acc>
      </m:oMath>
      <w:r w:rsidRPr="0037611B">
        <w:rPr>
          <w:sz w:val="16"/>
          <w:szCs w:val="16"/>
        </w:rPr>
        <w:t>:</w:t>
      </w:r>
    </w:p>
    <w:p w:rsidR="00C35497" w:rsidRPr="0037611B" w:rsidRDefault="00C35497" w:rsidP="0037611B">
      <w:pPr>
        <w:rPr>
          <w:sz w:val="16"/>
          <w:szCs w:val="16"/>
        </w:rPr>
      </w:pPr>
      <w:r w:rsidRPr="0037611B">
        <w:rPr>
          <w:noProof/>
          <w:sz w:val="16"/>
          <w:szCs w:val="16"/>
        </w:rPr>
        <w:drawing>
          <wp:inline distT="0" distB="0" distL="0" distR="0" wp14:anchorId="6473E785" wp14:editId="4D85C67D">
            <wp:extent cx="1144988" cy="266081"/>
            <wp:effectExtent l="0" t="0" r="0" b="635"/>
            <wp:docPr id="7" name="Picture 7" descr="\\s0429a\datashare\OCEA\Input-Output\Publication\2015 Publication (1998-2012 IO tables, ESA2010)\Maths_image_for_method_guide\T_H_equal_frac_g1_g_T_PTA_plus_g_V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429a\datashare\OCEA\Input-Output\Publication\2015 Publication (1998-2012 IO tables, ESA2010)\Maths_image_for_method_guide\T_H_equal_frac_g1_g_T_PTA_plus_g_V_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139" cy="265651"/>
                    </a:xfrm>
                    <a:prstGeom prst="rect">
                      <a:avLst/>
                    </a:prstGeom>
                    <a:noFill/>
                    <a:ln>
                      <a:noFill/>
                    </a:ln>
                  </pic:spPr>
                </pic:pic>
              </a:graphicData>
            </a:graphic>
          </wp:inline>
        </w:drawing>
      </w:r>
    </w:p>
  </w:footnote>
  <w:footnote w:id="23">
    <w:p w:rsidR="00C35497" w:rsidRPr="001F3596" w:rsidRDefault="00C35497">
      <w:pPr>
        <w:pStyle w:val="FootnoteText"/>
        <w:rPr>
          <w:sz w:val="16"/>
          <w:szCs w:val="16"/>
        </w:rPr>
      </w:pPr>
      <w:r w:rsidRPr="001F3596">
        <w:rPr>
          <w:rStyle w:val="FootnoteReference"/>
          <w:sz w:val="16"/>
          <w:szCs w:val="16"/>
        </w:rPr>
        <w:footnoteRef/>
      </w:r>
      <w:r w:rsidRPr="001F3596">
        <w:rPr>
          <w:sz w:val="16"/>
          <w:szCs w:val="16"/>
        </w:rPr>
        <w:t xml:space="preserve"> </w:t>
      </w:r>
      <w:hyperlink r:id="rId21" w:history="1">
        <w:r w:rsidRPr="00544B87">
          <w:rPr>
            <w:rStyle w:val="Hyperlink"/>
            <w:sz w:val="16"/>
            <w:szCs w:val="16"/>
          </w:rPr>
          <w:t>www.gov.scot/Topics/Statistics/Browse/Economy/ScotStat/comms</w:t>
        </w:r>
      </w:hyperlink>
      <w:r w:rsidRPr="001F3596">
        <w:rPr>
          <w:sz w:val="16"/>
          <w:szCs w:val="16"/>
        </w:rPr>
        <w:t xml:space="preserve"> </w:t>
      </w:r>
    </w:p>
  </w:footnote>
  <w:footnote w:id="24">
    <w:p w:rsidR="00C35497" w:rsidRPr="004D0848" w:rsidRDefault="00C35497" w:rsidP="003F535A">
      <w:pPr>
        <w:pStyle w:val="Footer"/>
      </w:pPr>
      <w:r>
        <w:rPr>
          <w:rStyle w:val="FootnoteReference"/>
        </w:rPr>
        <w:footnoteRef/>
      </w:r>
      <w:r>
        <w:t xml:space="preserve"> </w:t>
      </w:r>
      <w:hyperlink r:id="rId22" w:history="1">
        <w:r w:rsidRPr="00E50A18">
          <w:rPr>
            <w:rStyle w:val="Hyperlink"/>
          </w:rPr>
          <w:t>https://www.nomisweb.co.uk/Default.asp</w:t>
        </w:r>
      </w:hyperlink>
    </w:p>
  </w:footnote>
  <w:footnote w:id="25">
    <w:p w:rsidR="00C35497" w:rsidRPr="009624E5" w:rsidRDefault="00C35497" w:rsidP="00F46CBE">
      <w:pPr>
        <w:pStyle w:val="Footer"/>
        <w:rPr>
          <w:szCs w:val="16"/>
        </w:rPr>
      </w:pPr>
      <w:r w:rsidRPr="009624E5">
        <w:rPr>
          <w:rStyle w:val="FootnoteReference"/>
          <w:szCs w:val="16"/>
        </w:rPr>
        <w:footnoteRef/>
      </w:r>
      <w:r w:rsidRPr="009624E5">
        <w:rPr>
          <w:szCs w:val="16"/>
        </w:rPr>
        <w:t xml:space="preserve"> </w:t>
      </w:r>
      <w:hyperlink r:id="rId23" w:history="1">
        <w:r w:rsidRPr="009624E5">
          <w:rPr>
            <w:rStyle w:val="Hyperlink"/>
            <w:szCs w:val="16"/>
          </w:rPr>
          <w:t>www.ons.gov.uk/ons/guide-method/method-quality/specific/business-and-energy/annual-business-survey/index.html</w:t>
        </w:r>
      </w:hyperlink>
    </w:p>
  </w:footnote>
  <w:footnote w:id="26">
    <w:p w:rsidR="00C35497" w:rsidRPr="009624E5" w:rsidRDefault="00C35497" w:rsidP="00F46CBE">
      <w:pPr>
        <w:pStyle w:val="Footer"/>
        <w:rPr>
          <w:szCs w:val="16"/>
        </w:rPr>
      </w:pPr>
      <w:r w:rsidRPr="009624E5">
        <w:rPr>
          <w:rStyle w:val="FootnoteReference"/>
          <w:szCs w:val="16"/>
        </w:rPr>
        <w:footnoteRef/>
      </w:r>
      <w:r w:rsidRPr="009624E5">
        <w:rPr>
          <w:szCs w:val="16"/>
        </w:rPr>
        <w:t xml:space="preserve"> </w:t>
      </w:r>
      <w:hyperlink r:id="rId24" w:history="1">
        <w:r w:rsidRPr="009624E5">
          <w:rPr>
            <w:rStyle w:val="Hyperlink"/>
            <w:szCs w:val="16"/>
          </w:rPr>
          <w:t>www.ons.gov.uk/ons/guide-method/method-quality/specific/business-and-energy/manufacturing/index.html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97" w:rsidRPr="0067486A" w:rsidRDefault="00C35497" w:rsidP="0067486A">
    <w:pPr>
      <w:pStyle w:val="Header"/>
      <w:tabs>
        <w:tab w:val="clear" w:pos="4153"/>
        <w:tab w:val="clear" w:pos="8306"/>
        <w:tab w:val="center" w:pos="450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97" w:rsidRDefault="00C35497">
    <w:pPr>
      <w:tabs>
        <w:tab w:val="center" w:pos="45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E381C73"/>
    <w:multiLevelType w:val="hybridMultilevel"/>
    <w:tmpl w:val="79820372"/>
    <w:lvl w:ilvl="0" w:tplc="CFFA5602">
      <w:start w:val="1"/>
      <w:numFmt w:val="decimal"/>
      <w:pStyle w:val="BodyTextnumberred"/>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400D7FB0"/>
    <w:multiLevelType w:val="hybridMultilevel"/>
    <w:tmpl w:val="9DA43D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47AB33CC"/>
    <w:multiLevelType w:val="hybridMultilevel"/>
    <w:tmpl w:val="D388B7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4DB4449F"/>
    <w:multiLevelType w:val="hybridMultilevel"/>
    <w:tmpl w:val="895ABF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6">
    <w:nsid w:val="6D3B2C55"/>
    <w:multiLevelType w:val="hybridMultilevel"/>
    <w:tmpl w:val="CCFA3CA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nsid w:val="7B9B4D11"/>
    <w:multiLevelType w:val="hybridMultilevel"/>
    <w:tmpl w:val="8048A8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7C6806EB"/>
    <w:multiLevelType w:val="hybridMultilevel"/>
    <w:tmpl w:val="4C5A7058"/>
    <w:lvl w:ilvl="0" w:tplc="74FA0DE8">
      <w:start w:val="1"/>
      <w:numFmt w:val="bullet"/>
      <w:pStyle w:val="BodyTextBulletted"/>
      <w:lvlText w:val="●"/>
      <w:lvlJc w:val="left"/>
      <w:pPr>
        <w:tabs>
          <w:tab w:val="num" w:pos="927"/>
        </w:tabs>
        <w:ind w:left="927" w:hanging="360"/>
      </w:pPr>
      <w:rPr>
        <w:rFonts w:ascii="Arial" w:hAnsi="Aria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1"/>
  </w:num>
  <w:num w:numId="4">
    <w:abstractNumId w:val="2"/>
  </w:num>
  <w:num w:numId="5">
    <w:abstractNumId w:val="5"/>
  </w:num>
  <w:num w:numId="6">
    <w:abstractNumId w:val="0"/>
  </w:num>
  <w:num w:numId="7">
    <w:abstractNumId w:val="6"/>
  </w:num>
  <w:num w:numId="8">
    <w:abstractNumId w:val="3"/>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49"/>
    <w:rsid w:val="00001780"/>
    <w:rsid w:val="0000179D"/>
    <w:rsid w:val="00002739"/>
    <w:rsid w:val="000036E1"/>
    <w:rsid w:val="00004645"/>
    <w:rsid w:val="00004E77"/>
    <w:rsid w:val="000056DD"/>
    <w:rsid w:val="000079AA"/>
    <w:rsid w:val="000158CD"/>
    <w:rsid w:val="0001695D"/>
    <w:rsid w:val="00016B3E"/>
    <w:rsid w:val="00016C34"/>
    <w:rsid w:val="00021856"/>
    <w:rsid w:val="00024357"/>
    <w:rsid w:val="00026160"/>
    <w:rsid w:val="000279FF"/>
    <w:rsid w:val="0005682C"/>
    <w:rsid w:val="0007152C"/>
    <w:rsid w:val="00075AF1"/>
    <w:rsid w:val="00076CC5"/>
    <w:rsid w:val="00090CBC"/>
    <w:rsid w:val="000936D5"/>
    <w:rsid w:val="00097198"/>
    <w:rsid w:val="000A2194"/>
    <w:rsid w:val="000A2840"/>
    <w:rsid w:val="000A46BB"/>
    <w:rsid w:val="000A4E3E"/>
    <w:rsid w:val="000A5718"/>
    <w:rsid w:val="000A7A73"/>
    <w:rsid w:val="000C0E74"/>
    <w:rsid w:val="000D1ED6"/>
    <w:rsid w:val="000E325A"/>
    <w:rsid w:val="000E3F81"/>
    <w:rsid w:val="000F5CFA"/>
    <w:rsid w:val="00116EEC"/>
    <w:rsid w:val="001258DF"/>
    <w:rsid w:val="00127B80"/>
    <w:rsid w:val="00131A79"/>
    <w:rsid w:val="001335B8"/>
    <w:rsid w:val="001406EC"/>
    <w:rsid w:val="00145DCA"/>
    <w:rsid w:val="00146296"/>
    <w:rsid w:val="00146CF9"/>
    <w:rsid w:val="00147348"/>
    <w:rsid w:val="00157346"/>
    <w:rsid w:val="00157B9A"/>
    <w:rsid w:val="00163FCE"/>
    <w:rsid w:val="0016784D"/>
    <w:rsid w:val="00172139"/>
    <w:rsid w:val="00172DB7"/>
    <w:rsid w:val="0018120A"/>
    <w:rsid w:val="00187592"/>
    <w:rsid w:val="00192854"/>
    <w:rsid w:val="00192DC7"/>
    <w:rsid w:val="001944A8"/>
    <w:rsid w:val="001969DF"/>
    <w:rsid w:val="001A5003"/>
    <w:rsid w:val="001B1906"/>
    <w:rsid w:val="001B4597"/>
    <w:rsid w:val="001B7E69"/>
    <w:rsid w:val="001C66C2"/>
    <w:rsid w:val="001D3794"/>
    <w:rsid w:val="001D42C1"/>
    <w:rsid w:val="001D47A8"/>
    <w:rsid w:val="001D491C"/>
    <w:rsid w:val="001D6E8C"/>
    <w:rsid w:val="001E1D20"/>
    <w:rsid w:val="001E201A"/>
    <w:rsid w:val="001E66E1"/>
    <w:rsid w:val="001E7DDA"/>
    <w:rsid w:val="001F00D4"/>
    <w:rsid w:val="001F3596"/>
    <w:rsid w:val="00203FFC"/>
    <w:rsid w:val="00205E75"/>
    <w:rsid w:val="0021008D"/>
    <w:rsid w:val="00214DFD"/>
    <w:rsid w:val="0022114D"/>
    <w:rsid w:val="00226D77"/>
    <w:rsid w:val="002315EC"/>
    <w:rsid w:val="00237BD0"/>
    <w:rsid w:val="0024139D"/>
    <w:rsid w:val="00244D2A"/>
    <w:rsid w:val="0025361B"/>
    <w:rsid w:val="002574DA"/>
    <w:rsid w:val="00267FBD"/>
    <w:rsid w:val="00270BEC"/>
    <w:rsid w:val="00274567"/>
    <w:rsid w:val="002815DF"/>
    <w:rsid w:val="00284B82"/>
    <w:rsid w:val="002907B8"/>
    <w:rsid w:val="00290AFD"/>
    <w:rsid w:val="00291613"/>
    <w:rsid w:val="002A73FB"/>
    <w:rsid w:val="002B57F8"/>
    <w:rsid w:val="002B5DA9"/>
    <w:rsid w:val="002B623D"/>
    <w:rsid w:val="002B6F44"/>
    <w:rsid w:val="002B6FE1"/>
    <w:rsid w:val="002C34A5"/>
    <w:rsid w:val="002C4244"/>
    <w:rsid w:val="002D4737"/>
    <w:rsid w:val="002D569B"/>
    <w:rsid w:val="002D62DC"/>
    <w:rsid w:val="002E188E"/>
    <w:rsid w:val="002F6092"/>
    <w:rsid w:val="003020F8"/>
    <w:rsid w:val="00304A61"/>
    <w:rsid w:val="003151A3"/>
    <w:rsid w:val="00316476"/>
    <w:rsid w:val="00320F9A"/>
    <w:rsid w:val="00322D30"/>
    <w:rsid w:val="0032323B"/>
    <w:rsid w:val="00324F3A"/>
    <w:rsid w:val="00331003"/>
    <w:rsid w:val="00331BFF"/>
    <w:rsid w:val="00331FF1"/>
    <w:rsid w:val="00332CEF"/>
    <w:rsid w:val="003345FC"/>
    <w:rsid w:val="00342E71"/>
    <w:rsid w:val="003443E2"/>
    <w:rsid w:val="00353395"/>
    <w:rsid w:val="0035692F"/>
    <w:rsid w:val="003575B0"/>
    <w:rsid w:val="00363C24"/>
    <w:rsid w:val="00372EA4"/>
    <w:rsid w:val="003734B8"/>
    <w:rsid w:val="0037584C"/>
    <w:rsid w:val="00375E9C"/>
    <w:rsid w:val="0037611B"/>
    <w:rsid w:val="0037749F"/>
    <w:rsid w:val="003861A7"/>
    <w:rsid w:val="00397266"/>
    <w:rsid w:val="003A26E1"/>
    <w:rsid w:val="003B13BC"/>
    <w:rsid w:val="003B34B2"/>
    <w:rsid w:val="003B4B92"/>
    <w:rsid w:val="003B7615"/>
    <w:rsid w:val="003B7A69"/>
    <w:rsid w:val="003C16EA"/>
    <w:rsid w:val="003C29E9"/>
    <w:rsid w:val="003C3D8E"/>
    <w:rsid w:val="003C67E0"/>
    <w:rsid w:val="003D2B6A"/>
    <w:rsid w:val="003D2D87"/>
    <w:rsid w:val="003E1287"/>
    <w:rsid w:val="003E4491"/>
    <w:rsid w:val="003F2479"/>
    <w:rsid w:val="003F36EA"/>
    <w:rsid w:val="003F535A"/>
    <w:rsid w:val="00401141"/>
    <w:rsid w:val="0040298D"/>
    <w:rsid w:val="004035A3"/>
    <w:rsid w:val="00407BCF"/>
    <w:rsid w:val="00410AFC"/>
    <w:rsid w:val="004278C0"/>
    <w:rsid w:val="00431C06"/>
    <w:rsid w:val="00433FEA"/>
    <w:rsid w:val="004347ED"/>
    <w:rsid w:val="00441073"/>
    <w:rsid w:val="004460AC"/>
    <w:rsid w:val="004473E2"/>
    <w:rsid w:val="00451A17"/>
    <w:rsid w:val="00454893"/>
    <w:rsid w:val="00454A18"/>
    <w:rsid w:val="0046035A"/>
    <w:rsid w:val="00462F60"/>
    <w:rsid w:val="004656B4"/>
    <w:rsid w:val="00467F1D"/>
    <w:rsid w:val="0047044B"/>
    <w:rsid w:val="00473F7A"/>
    <w:rsid w:val="00476778"/>
    <w:rsid w:val="00485FD9"/>
    <w:rsid w:val="00486330"/>
    <w:rsid w:val="00491811"/>
    <w:rsid w:val="00491BB7"/>
    <w:rsid w:val="00493717"/>
    <w:rsid w:val="004A075B"/>
    <w:rsid w:val="004A313D"/>
    <w:rsid w:val="004A4B0F"/>
    <w:rsid w:val="004A4C03"/>
    <w:rsid w:val="004A54D7"/>
    <w:rsid w:val="004B0613"/>
    <w:rsid w:val="004B21FA"/>
    <w:rsid w:val="004B3A5F"/>
    <w:rsid w:val="004B4B51"/>
    <w:rsid w:val="004C1C59"/>
    <w:rsid w:val="004C3E1A"/>
    <w:rsid w:val="004D0848"/>
    <w:rsid w:val="004D4813"/>
    <w:rsid w:val="004E0F99"/>
    <w:rsid w:val="004E2EA4"/>
    <w:rsid w:val="004E4B36"/>
    <w:rsid w:val="004F4550"/>
    <w:rsid w:val="004F6BBE"/>
    <w:rsid w:val="00506D31"/>
    <w:rsid w:val="00512C51"/>
    <w:rsid w:val="0051303D"/>
    <w:rsid w:val="00516139"/>
    <w:rsid w:val="00516E1D"/>
    <w:rsid w:val="00521A54"/>
    <w:rsid w:val="00521D0E"/>
    <w:rsid w:val="00524437"/>
    <w:rsid w:val="005246BE"/>
    <w:rsid w:val="00530AFC"/>
    <w:rsid w:val="00533B1B"/>
    <w:rsid w:val="0053477E"/>
    <w:rsid w:val="005373BF"/>
    <w:rsid w:val="00542635"/>
    <w:rsid w:val="00545A26"/>
    <w:rsid w:val="005521A9"/>
    <w:rsid w:val="00554469"/>
    <w:rsid w:val="00554F33"/>
    <w:rsid w:val="005551AB"/>
    <w:rsid w:val="00560FDB"/>
    <w:rsid w:val="00561EBB"/>
    <w:rsid w:val="00562661"/>
    <w:rsid w:val="005677DD"/>
    <w:rsid w:val="0057171F"/>
    <w:rsid w:val="005727EF"/>
    <w:rsid w:val="00573B13"/>
    <w:rsid w:val="00575200"/>
    <w:rsid w:val="00585ED6"/>
    <w:rsid w:val="00590E3D"/>
    <w:rsid w:val="0059161C"/>
    <w:rsid w:val="00591B73"/>
    <w:rsid w:val="00593902"/>
    <w:rsid w:val="00597779"/>
    <w:rsid w:val="005A1685"/>
    <w:rsid w:val="005A6D67"/>
    <w:rsid w:val="005A7A5E"/>
    <w:rsid w:val="005B73C1"/>
    <w:rsid w:val="005C0C8D"/>
    <w:rsid w:val="005C1620"/>
    <w:rsid w:val="005D6C69"/>
    <w:rsid w:val="005E05B0"/>
    <w:rsid w:val="005E0C64"/>
    <w:rsid w:val="005E3D22"/>
    <w:rsid w:val="005F0C21"/>
    <w:rsid w:val="005F0DBC"/>
    <w:rsid w:val="005F500B"/>
    <w:rsid w:val="005F5A28"/>
    <w:rsid w:val="00605C7B"/>
    <w:rsid w:val="00612EB5"/>
    <w:rsid w:val="0061468F"/>
    <w:rsid w:val="00615B5E"/>
    <w:rsid w:val="006221F1"/>
    <w:rsid w:val="0062459D"/>
    <w:rsid w:val="006249FB"/>
    <w:rsid w:val="00630636"/>
    <w:rsid w:val="00640199"/>
    <w:rsid w:val="006422B5"/>
    <w:rsid w:val="0065363C"/>
    <w:rsid w:val="00653C6D"/>
    <w:rsid w:val="00653E35"/>
    <w:rsid w:val="00657846"/>
    <w:rsid w:val="006625FD"/>
    <w:rsid w:val="00663A36"/>
    <w:rsid w:val="00665EA9"/>
    <w:rsid w:val="0067486A"/>
    <w:rsid w:val="00677598"/>
    <w:rsid w:val="006812AC"/>
    <w:rsid w:val="006845CD"/>
    <w:rsid w:val="00684E5F"/>
    <w:rsid w:val="00685CC7"/>
    <w:rsid w:val="006874F9"/>
    <w:rsid w:val="00687722"/>
    <w:rsid w:val="0069649F"/>
    <w:rsid w:val="006A4309"/>
    <w:rsid w:val="006B59A3"/>
    <w:rsid w:val="006B6359"/>
    <w:rsid w:val="006C0F99"/>
    <w:rsid w:val="006C4095"/>
    <w:rsid w:val="006C53E4"/>
    <w:rsid w:val="006C655B"/>
    <w:rsid w:val="006D398E"/>
    <w:rsid w:val="006E1D8A"/>
    <w:rsid w:val="006E3B4A"/>
    <w:rsid w:val="006E563D"/>
    <w:rsid w:val="006F6D6A"/>
    <w:rsid w:val="006F72F0"/>
    <w:rsid w:val="006F731D"/>
    <w:rsid w:val="007010F1"/>
    <w:rsid w:val="00702B0E"/>
    <w:rsid w:val="0070447D"/>
    <w:rsid w:val="007066AA"/>
    <w:rsid w:val="00707FF4"/>
    <w:rsid w:val="00711CC8"/>
    <w:rsid w:val="00712074"/>
    <w:rsid w:val="00713969"/>
    <w:rsid w:val="0071658C"/>
    <w:rsid w:val="00720685"/>
    <w:rsid w:val="0072124C"/>
    <w:rsid w:val="00731515"/>
    <w:rsid w:val="00732511"/>
    <w:rsid w:val="00735774"/>
    <w:rsid w:val="00737E96"/>
    <w:rsid w:val="007413FF"/>
    <w:rsid w:val="00742C00"/>
    <w:rsid w:val="00743388"/>
    <w:rsid w:val="00744B73"/>
    <w:rsid w:val="00746DCD"/>
    <w:rsid w:val="00750CA6"/>
    <w:rsid w:val="00752AAE"/>
    <w:rsid w:val="00754221"/>
    <w:rsid w:val="00755838"/>
    <w:rsid w:val="00756018"/>
    <w:rsid w:val="00757185"/>
    <w:rsid w:val="00770EED"/>
    <w:rsid w:val="00771BBD"/>
    <w:rsid w:val="0077588D"/>
    <w:rsid w:val="00780AB4"/>
    <w:rsid w:val="007810BE"/>
    <w:rsid w:val="00781C95"/>
    <w:rsid w:val="007860C7"/>
    <w:rsid w:val="0079166A"/>
    <w:rsid w:val="007A137C"/>
    <w:rsid w:val="007A2F5C"/>
    <w:rsid w:val="007A3189"/>
    <w:rsid w:val="007A657F"/>
    <w:rsid w:val="007B11C4"/>
    <w:rsid w:val="007B3708"/>
    <w:rsid w:val="007B3BB8"/>
    <w:rsid w:val="007B575A"/>
    <w:rsid w:val="007B7217"/>
    <w:rsid w:val="007C2079"/>
    <w:rsid w:val="007C26CF"/>
    <w:rsid w:val="007C3002"/>
    <w:rsid w:val="007C44BA"/>
    <w:rsid w:val="007C5497"/>
    <w:rsid w:val="007C6AAC"/>
    <w:rsid w:val="007D1E2C"/>
    <w:rsid w:val="007D6EB8"/>
    <w:rsid w:val="007E2826"/>
    <w:rsid w:val="007E68B5"/>
    <w:rsid w:val="007E78D8"/>
    <w:rsid w:val="007F59F7"/>
    <w:rsid w:val="007F75C3"/>
    <w:rsid w:val="00800644"/>
    <w:rsid w:val="00801721"/>
    <w:rsid w:val="00803811"/>
    <w:rsid w:val="00804F46"/>
    <w:rsid w:val="00812BBE"/>
    <w:rsid w:val="0082056F"/>
    <w:rsid w:val="0082271D"/>
    <w:rsid w:val="00824C9D"/>
    <w:rsid w:val="008319EF"/>
    <w:rsid w:val="00833C1E"/>
    <w:rsid w:val="00834A5C"/>
    <w:rsid w:val="008413BF"/>
    <w:rsid w:val="0084405B"/>
    <w:rsid w:val="00850B2F"/>
    <w:rsid w:val="0085474F"/>
    <w:rsid w:val="00856331"/>
    <w:rsid w:val="00857844"/>
    <w:rsid w:val="0086346A"/>
    <w:rsid w:val="00865341"/>
    <w:rsid w:val="00892C6C"/>
    <w:rsid w:val="008946F4"/>
    <w:rsid w:val="00894B9A"/>
    <w:rsid w:val="008A0649"/>
    <w:rsid w:val="008A0D5B"/>
    <w:rsid w:val="008A3857"/>
    <w:rsid w:val="008A677A"/>
    <w:rsid w:val="008B1FED"/>
    <w:rsid w:val="008C02B5"/>
    <w:rsid w:val="008C323C"/>
    <w:rsid w:val="008D0469"/>
    <w:rsid w:val="008E0B1B"/>
    <w:rsid w:val="008E78B7"/>
    <w:rsid w:val="008F0639"/>
    <w:rsid w:val="008F2FDA"/>
    <w:rsid w:val="008F4837"/>
    <w:rsid w:val="00902629"/>
    <w:rsid w:val="00905ADE"/>
    <w:rsid w:val="00912FB7"/>
    <w:rsid w:val="00912FD8"/>
    <w:rsid w:val="0091364C"/>
    <w:rsid w:val="00915908"/>
    <w:rsid w:val="00916EC3"/>
    <w:rsid w:val="00920617"/>
    <w:rsid w:val="00926ED2"/>
    <w:rsid w:val="00927E46"/>
    <w:rsid w:val="00940086"/>
    <w:rsid w:val="00942A8B"/>
    <w:rsid w:val="00942ADE"/>
    <w:rsid w:val="00944282"/>
    <w:rsid w:val="00945FE4"/>
    <w:rsid w:val="00947213"/>
    <w:rsid w:val="00952710"/>
    <w:rsid w:val="009568E0"/>
    <w:rsid w:val="009610B5"/>
    <w:rsid w:val="009624E5"/>
    <w:rsid w:val="00965020"/>
    <w:rsid w:val="00967097"/>
    <w:rsid w:val="00970419"/>
    <w:rsid w:val="009714B3"/>
    <w:rsid w:val="00973384"/>
    <w:rsid w:val="00976FAC"/>
    <w:rsid w:val="009825FF"/>
    <w:rsid w:val="0099101A"/>
    <w:rsid w:val="009967A2"/>
    <w:rsid w:val="009A0BC2"/>
    <w:rsid w:val="009A6286"/>
    <w:rsid w:val="009B22EF"/>
    <w:rsid w:val="009B70D9"/>
    <w:rsid w:val="009C0F38"/>
    <w:rsid w:val="009C1C0E"/>
    <w:rsid w:val="009C23A4"/>
    <w:rsid w:val="009C29B3"/>
    <w:rsid w:val="009C4672"/>
    <w:rsid w:val="009C51F9"/>
    <w:rsid w:val="009D1C42"/>
    <w:rsid w:val="009D1E26"/>
    <w:rsid w:val="009D48CA"/>
    <w:rsid w:val="009D59AE"/>
    <w:rsid w:val="009D7952"/>
    <w:rsid w:val="009E3CB9"/>
    <w:rsid w:val="009F1889"/>
    <w:rsid w:val="009F71B8"/>
    <w:rsid w:val="00A0069B"/>
    <w:rsid w:val="00A0088F"/>
    <w:rsid w:val="00A00E91"/>
    <w:rsid w:val="00A03126"/>
    <w:rsid w:val="00A053E5"/>
    <w:rsid w:val="00A06275"/>
    <w:rsid w:val="00A06FDB"/>
    <w:rsid w:val="00A07899"/>
    <w:rsid w:val="00A127CC"/>
    <w:rsid w:val="00A13D0F"/>
    <w:rsid w:val="00A14D2D"/>
    <w:rsid w:val="00A14DD2"/>
    <w:rsid w:val="00A153D1"/>
    <w:rsid w:val="00A17F4B"/>
    <w:rsid w:val="00A21D17"/>
    <w:rsid w:val="00A234D6"/>
    <w:rsid w:val="00A24963"/>
    <w:rsid w:val="00A318C9"/>
    <w:rsid w:val="00A336DE"/>
    <w:rsid w:val="00A3527C"/>
    <w:rsid w:val="00A3631D"/>
    <w:rsid w:val="00A41CD4"/>
    <w:rsid w:val="00A5154D"/>
    <w:rsid w:val="00A52990"/>
    <w:rsid w:val="00A52B77"/>
    <w:rsid w:val="00A54058"/>
    <w:rsid w:val="00A55E57"/>
    <w:rsid w:val="00A56EBA"/>
    <w:rsid w:val="00A622AC"/>
    <w:rsid w:val="00A649F8"/>
    <w:rsid w:val="00A660F9"/>
    <w:rsid w:val="00A90A53"/>
    <w:rsid w:val="00A91420"/>
    <w:rsid w:val="00A92E58"/>
    <w:rsid w:val="00AA2427"/>
    <w:rsid w:val="00AA3181"/>
    <w:rsid w:val="00AA79B7"/>
    <w:rsid w:val="00AB5232"/>
    <w:rsid w:val="00AB54FF"/>
    <w:rsid w:val="00AC40C7"/>
    <w:rsid w:val="00AD1313"/>
    <w:rsid w:val="00AD3F5F"/>
    <w:rsid w:val="00AD5578"/>
    <w:rsid w:val="00AD5913"/>
    <w:rsid w:val="00AD5ABA"/>
    <w:rsid w:val="00AD5D25"/>
    <w:rsid w:val="00AD74EB"/>
    <w:rsid w:val="00AD7A29"/>
    <w:rsid w:val="00AE01CB"/>
    <w:rsid w:val="00AE2BEB"/>
    <w:rsid w:val="00AE3725"/>
    <w:rsid w:val="00AE6EDB"/>
    <w:rsid w:val="00AE7E0A"/>
    <w:rsid w:val="00AF0833"/>
    <w:rsid w:val="00AF0B99"/>
    <w:rsid w:val="00AF4ACD"/>
    <w:rsid w:val="00AF5CF0"/>
    <w:rsid w:val="00B032CB"/>
    <w:rsid w:val="00B04F6D"/>
    <w:rsid w:val="00B119A5"/>
    <w:rsid w:val="00B23164"/>
    <w:rsid w:val="00B314E3"/>
    <w:rsid w:val="00B33BE1"/>
    <w:rsid w:val="00B3721D"/>
    <w:rsid w:val="00B37EE2"/>
    <w:rsid w:val="00B421F1"/>
    <w:rsid w:val="00B55330"/>
    <w:rsid w:val="00B64246"/>
    <w:rsid w:val="00B66340"/>
    <w:rsid w:val="00B70A0A"/>
    <w:rsid w:val="00B748E6"/>
    <w:rsid w:val="00B819A0"/>
    <w:rsid w:val="00B81E18"/>
    <w:rsid w:val="00B922D5"/>
    <w:rsid w:val="00BA65AC"/>
    <w:rsid w:val="00BB36B7"/>
    <w:rsid w:val="00BB37D2"/>
    <w:rsid w:val="00BB383F"/>
    <w:rsid w:val="00BB5998"/>
    <w:rsid w:val="00BB6D90"/>
    <w:rsid w:val="00BC3B0B"/>
    <w:rsid w:val="00BC607B"/>
    <w:rsid w:val="00BC765D"/>
    <w:rsid w:val="00BD465F"/>
    <w:rsid w:val="00BD51FC"/>
    <w:rsid w:val="00BD6556"/>
    <w:rsid w:val="00BD6D78"/>
    <w:rsid w:val="00C007EE"/>
    <w:rsid w:val="00C031A8"/>
    <w:rsid w:val="00C04DC1"/>
    <w:rsid w:val="00C06544"/>
    <w:rsid w:val="00C26542"/>
    <w:rsid w:val="00C35497"/>
    <w:rsid w:val="00C35A8F"/>
    <w:rsid w:val="00C461CA"/>
    <w:rsid w:val="00C50B40"/>
    <w:rsid w:val="00C53600"/>
    <w:rsid w:val="00C54FA7"/>
    <w:rsid w:val="00C553A3"/>
    <w:rsid w:val="00C705D7"/>
    <w:rsid w:val="00C72042"/>
    <w:rsid w:val="00C7578A"/>
    <w:rsid w:val="00C772B3"/>
    <w:rsid w:val="00C77BF9"/>
    <w:rsid w:val="00C81482"/>
    <w:rsid w:val="00C82967"/>
    <w:rsid w:val="00C84785"/>
    <w:rsid w:val="00C8534D"/>
    <w:rsid w:val="00C86FBA"/>
    <w:rsid w:val="00C91E49"/>
    <w:rsid w:val="00C9426B"/>
    <w:rsid w:val="00CA4350"/>
    <w:rsid w:val="00CB431A"/>
    <w:rsid w:val="00CB706C"/>
    <w:rsid w:val="00CB78FF"/>
    <w:rsid w:val="00CC2FBE"/>
    <w:rsid w:val="00CC3220"/>
    <w:rsid w:val="00CC7125"/>
    <w:rsid w:val="00CD0EC8"/>
    <w:rsid w:val="00CD23FD"/>
    <w:rsid w:val="00CD61CB"/>
    <w:rsid w:val="00CD7D96"/>
    <w:rsid w:val="00CE11E2"/>
    <w:rsid w:val="00CE3BDE"/>
    <w:rsid w:val="00CE5025"/>
    <w:rsid w:val="00CE5659"/>
    <w:rsid w:val="00CE6474"/>
    <w:rsid w:val="00CE77E3"/>
    <w:rsid w:val="00CF35FC"/>
    <w:rsid w:val="00CF6897"/>
    <w:rsid w:val="00CF7735"/>
    <w:rsid w:val="00CF7A6E"/>
    <w:rsid w:val="00D02EC1"/>
    <w:rsid w:val="00D07F6F"/>
    <w:rsid w:val="00D14849"/>
    <w:rsid w:val="00D160FD"/>
    <w:rsid w:val="00D17F2F"/>
    <w:rsid w:val="00D26966"/>
    <w:rsid w:val="00D3315A"/>
    <w:rsid w:val="00D4477C"/>
    <w:rsid w:val="00D519ED"/>
    <w:rsid w:val="00D60F6D"/>
    <w:rsid w:val="00D62F79"/>
    <w:rsid w:val="00D66CAA"/>
    <w:rsid w:val="00D7038F"/>
    <w:rsid w:val="00D719C0"/>
    <w:rsid w:val="00D91EB1"/>
    <w:rsid w:val="00D94841"/>
    <w:rsid w:val="00D9496A"/>
    <w:rsid w:val="00D970B8"/>
    <w:rsid w:val="00DB199E"/>
    <w:rsid w:val="00DB38AE"/>
    <w:rsid w:val="00DB66DA"/>
    <w:rsid w:val="00DC2866"/>
    <w:rsid w:val="00DC43B8"/>
    <w:rsid w:val="00DC5901"/>
    <w:rsid w:val="00DD2072"/>
    <w:rsid w:val="00DD3704"/>
    <w:rsid w:val="00DD4EE5"/>
    <w:rsid w:val="00DD5F1F"/>
    <w:rsid w:val="00DD6F30"/>
    <w:rsid w:val="00DD7866"/>
    <w:rsid w:val="00DF15C4"/>
    <w:rsid w:val="00DF252B"/>
    <w:rsid w:val="00DF3F08"/>
    <w:rsid w:val="00DF4940"/>
    <w:rsid w:val="00E000A0"/>
    <w:rsid w:val="00E06906"/>
    <w:rsid w:val="00E1065B"/>
    <w:rsid w:val="00E13DBF"/>
    <w:rsid w:val="00E15B9A"/>
    <w:rsid w:val="00E20012"/>
    <w:rsid w:val="00E26045"/>
    <w:rsid w:val="00E265DB"/>
    <w:rsid w:val="00E30911"/>
    <w:rsid w:val="00E33234"/>
    <w:rsid w:val="00E3599D"/>
    <w:rsid w:val="00E36759"/>
    <w:rsid w:val="00E4044F"/>
    <w:rsid w:val="00E40E2C"/>
    <w:rsid w:val="00E4686B"/>
    <w:rsid w:val="00E46A8B"/>
    <w:rsid w:val="00E5621C"/>
    <w:rsid w:val="00E57200"/>
    <w:rsid w:val="00E6250B"/>
    <w:rsid w:val="00E62DE2"/>
    <w:rsid w:val="00E636B1"/>
    <w:rsid w:val="00E658F1"/>
    <w:rsid w:val="00E67476"/>
    <w:rsid w:val="00E704A5"/>
    <w:rsid w:val="00E754C9"/>
    <w:rsid w:val="00E80EE1"/>
    <w:rsid w:val="00E811D2"/>
    <w:rsid w:val="00E87AF0"/>
    <w:rsid w:val="00EA0DBF"/>
    <w:rsid w:val="00EA614F"/>
    <w:rsid w:val="00EB1CCB"/>
    <w:rsid w:val="00EB6CB5"/>
    <w:rsid w:val="00ED4EE1"/>
    <w:rsid w:val="00ED6084"/>
    <w:rsid w:val="00ED640C"/>
    <w:rsid w:val="00ED6B0F"/>
    <w:rsid w:val="00EE045D"/>
    <w:rsid w:val="00EE5FF2"/>
    <w:rsid w:val="00EE6CF9"/>
    <w:rsid w:val="00EF0E0F"/>
    <w:rsid w:val="00EF1DE1"/>
    <w:rsid w:val="00EF394A"/>
    <w:rsid w:val="00EF51F8"/>
    <w:rsid w:val="00F015C9"/>
    <w:rsid w:val="00F05B92"/>
    <w:rsid w:val="00F06548"/>
    <w:rsid w:val="00F0768A"/>
    <w:rsid w:val="00F14B57"/>
    <w:rsid w:val="00F172DA"/>
    <w:rsid w:val="00F207D5"/>
    <w:rsid w:val="00F22560"/>
    <w:rsid w:val="00F233F9"/>
    <w:rsid w:val="00F270FC"/>
    <w:rsid w:val="00F27A8A"/>
    <w:rsid w:val="00F27E0D"/>
    <w:rsid w:val="00F35818"/>
    <w:rsid w:val="00F36683"/>
    <w:rsid w:val="00F37C03"/>
    <w:rsid w:val="00F427F2"/>
    <w:rsid w:val="00F44751"/>
    <w:rsid w:val="00F46CBE"/>
    <w:rsid w:val="00F46DF3"/>
    <w:rsid w:val="00F50257"/>
    <w:rsid w:val="00F51A3F"/>
    <w:rsid w:val="00F55F33"/>
    <w:rsid w:val="00F62D99"/>
    <w:rsid w:val="00F63684"/>
    <w:rsid w:val="00F72C9F"/>
    <w:rsid w:val="00F81A0B"/>
    <w:rsid w:val="00F8285F"/>
    <w:rsid w:val="00F878CD"/>
    <w:rsid w:val="00F91342"/>
    <w:rsid w:val="00FA01CF"/>
    <w:rsid w:val="00FA091D"/>
    <w:rsid w:val="00FA36AA"/>
    <w:rsid w:val="00FA7431"/>
    <w:rsid w:val="00FA78BD"/>
    <w:rsid w:val="00FB097D"/>
    <w:rsid w:val="00FB1778"/>
    <w:rsid w:val="00FB1EB4"/>
    <w:rsid w:val="00FB473B"/>
    <w:rsid w:val="00FB5DFF"/>
    <w:rsid w:val="00FC0E64"/>
    <w:rsid w:val="00FC1811"/>
    <w:rsid w:val="00FC35A9"/>
    <w:rsid w:val="00FC3AFC"/>
    <w:rsid w:val="00FC3EA6"/>
    <w:rsid w:val="00FD188B"/>
    <w:rsid w:val="00FD2502"/>
    <w:rsid w:val="00FE0512"/>
    <w:rsid w:val="00FE0C46"/>
    <w:rsid w:val="00FE1EF3"/>
    <w:rsid w:val="00FE6CB9"/>
    <w:rsid w:val="00FF012F"/>
    <w:rsid w:val="00FF33AA"/>
    <w:rsid w:val="00FF380C"/>
    <w:rsid w:val="00FF7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EC3"/>
    <w:rPr>
      <w:rFonts w:ascii="Arial" w:hAnsi="Arial"/>
      <w:szCs w:val="24"/>
    </w:rPr>
  </w:style>
  <w:style w:type="paragraph" w:styleId="Heading1">
    <w:name w:val="heading 1"/>
    <w:aliases w:val="Outline1"/>
    <w:basedOn w:val="Normal"/>
    <w:next w:val="BodyText"/>
    <w:link w:val="Heading1Char"/>
    <w:qFormat/>
    <w:rsid w:val="007C2079"/>
    <w:pPr>
      <w:keepNext/>
      <w:widowControl w:val="0"/>
      <w:pBdr>
        <w:bottom w:val="single" w:sz="4" w:space="1" w:color="auto"/>
      </w:pBdr>
      <w:spacing w:after="480"/>
      <w:outlineLvl w:val="0"/>
    </w:pPr>
    <w:rPr>
      <w:b/>
      <w:bCs/>
      <w:color w:val="666699"/>
      <w:kern w:val="32"/>
      <w:sz w:val="32"/>
      <w:szCs w:val="32"/>
    </w:rPr>
  </w:style>
  <w:style w:type="paragraph" w:styleId="Heading2">
    <w:name w:val="heading 2"/>
    <w:aliases w:val="Outline2"/>
    <w:basedOn w:val="Normal"/>
    <w:next w:val="Normal"/>
    <w:link w:val="Heading2Char"/>
    <w:qFormat/>
    <w:rsid w:val="007C2079"/>
    <w:pPr>
      <w:keepNext/>
      <w:widowControl w:val="0"/>
      <w:pBdr>
        <w:bottom w:val="single" w:sz="4" w:space="1" w:color="auto"/>
      </w:pBdr>
      <w:tabs>
        <w:tab w:val="left" w:pos="567"/>
      </w:tabs>
      <w:spacing w:before="480" w:after="240"/>
      <w:outlineLvl w:val="1"/>
    </w:pPr>
    <w:rPr>
      <w:rFonts w:cs="Arial"/>
      <w:b/>
      <w:bCs/>
      <w:iCs/>
      <w:color w:val="666699"/>
      <w:sz w:val="24"/>
      <w:szCs w:val="28"/>
    </w:rPr>
  </w:style>
  <w:style w:type="paragraph" w:styleId="Heading3">
    <w:name w:val="heading 3"/>
    <w:aliases w:val="Outline3"/>
    <w:basedOn w:val="Normal"/>
    <w:next w:val="Normal"/>
    <w:qFormat/>
    <w:rsid w:val="007C2079"/>
    <w:pPr>
      <w:keepNext/>
      <w:widowControl w:val="0"/>
      <w:spacing w:before="360" w:after="240"/>
      <w:outlineLvl w:val="2"/>
    </w:pPr>
    <w:rPr>
      <w:rFonts w:cs="Arial"/>
      <w:b/>
      <w:bCs/>
      <w:color w:val="666699"/>
      <w:sz w:val="24"/>
      <w:szCs w:val="26"/>
    </w:rPr>
  </w:style>
  <w:style w:type="paragraph" w:styleId="Heading4">
    <w:name w:val="heading 4"/>
    <w:basedOn w:val="Normal"/>
    <w:next w:val="Normal"/>
    <w:qFormat/>
    <w:rsid w:val="00FC3AFC"/>
    <w:pPr>
      <w:keepNext/>
      <w:widowControl w:val="0"/>
      <w:spacing w:before="240" w:after="180"/>
      <w:outlineLvl w:val="3"/>
    </w:pPr>
    <w:rPr>
      <w:bCs/>
      <w:color w:val="666699"/>
      <w:sz w:val="24"/>
      <w:szCs w:val="28"/>
    </w:rPr>
  </w:style>
  <w:style w:type="paragraph" w:styleId="Heading5">
    <w:name w:val="heading 5"/>
    <w:basedOn w:val="Normal"/>
    <w:next w:val="BodyText"/>
    <w:qFormat/>
    <w:rsid w:val="00C007EE"/>
    <w:pPr>
      <w:widowControl w:val="0"/>
      <w:spacing w:before="240" w:after="180"/>
      <w:outlineLvl w:val="4"/>
    </w:pPr>
    <w:rPr>
      <w:i/>
      <w:color w:val="666699"/>
      <w:sz w:val="24"/>
    </w:rPr>
  </w:style>
  <w:style w:type="paragraph" w:styleId="Heading6">
    <w:name w:val="heading 6"/>
    <w:basedOn w:val="Normal"/>
    <w:next w:val="BodyText"/>
    <w:qFormat/>
    <w:rsid w:val="007F75C3"/>
    <w:pPr>
      <w:widowControl w:val="0"/>
      <w:tabs>
        <w:tab w:val="left" w:pos="567"/>
      </w:tabs>
      <w:spacing w:before="240" w:after="180"/>
      <w:outlineLvl w:val="5"/>
    </w:pPr>
    <w:rPr>
      <w:b/>
      <w:color w:val="666699"/>
    </w:rPr>
  </w:style>
  <w:style w:type="paragraph" w:styleId="Heading7">
    <w:name w:val="heading 7"/>
    <w:basedOn w:val="Normal"/>
    <w:next w:val="BodyText"/>
    <w:qFormat/>
    <w:rsid w:val="007F75C3"/>
    <w:pPr>
      <w:widowControl w:val="0"/>
      <w:spacing w:before="240" w:after="180"/>
      <w:outlineLvl w:val="6"/>
    </w:pPr>
    <w:rPr>
      <w:color w:val="666699"/>
    </w:rPr>
  </w:style>
  <w:style w:type="paragraph" w:styleId="Heading8">
    <w:name w:val="heading 8"/>
    <w:basedOn w:val="Normal"/>
    <w:next w:val="Normal"/>
    <w:qFormat/>
    <w:rsid w:val="007F75C3"/>
    <w:pPr>
      <w:spacing w:before="240" w:after="180"/>
      <w:outlineLvl w:val="7"/>
    </w:pPr>
    <w:rPr>
      <w:i/>
      <w:iCs/>
      <w:color w:val="666699"/>
      <w:szCs w:val="28"/>
    </w:rPr>
  </w:style>
  <w:style w:type="paragraph" w:styleId="Heading9">
    <w:name w:val="heading 9"/>
    <w:basedOn w:val="Normal"/>
    <w:next w:val="BodyText"/>
    <w:qFormat/>
    <w:rsid w:val="007F75C3"/>
    <w:pPr>
      <w:keepNext/>
      <w:tabs>
        <w:tab w:val="left" w:pos="3261"/>
      </w:tabs>
      <w:spacing w:before="240" w:after="180"/>
      <w:outlineLvl w:val="8"/>
    </w:pPr>
    <w:rPr>
      <w:b/>
      <w:i/>
      <w:color w:val="6666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496A"/>
    <w:pPr>
      <w:widowControl w:val="0"/>
      <w:tabs>
        <w:tab w:val="left" w:pos="425"/>
      </w:tabs>
      <w:spacing w:after="180"/>
      <w:ind w:left="567"/>
      <w:jc w:val="both"/>
    </w:pPr>
  </w:style>
  <w:style w:type="character" w:customStyle="1" w:styleId="BodyTextChar">
    <w:name w:val="Body Text Char"/>
    <w:link w:val="BodyText"/>
    <w:rsid w:val="00D9496A"/>
    <w:rPr>
      <w:rFonts w:ascii="Arial" w:hAnsi="Arial"/>
      <w:szCs w:val="24"/>
    </w:rPr>
  </w:style>
  <w:style w:type="character" w:customStyle="1" w:styleId="Heading1Char">
    <w:name w:val="Heading 1 Char"/>
    <w:aliases w:val="Outline1 Char"/>
    <w:link w:val="Heading1"/>
    <w:locked/>
    <w:rsid w:val="007C2079"/>
    <w:rPr>
      <w:rFonts w:ascii="Arial" w:hAnsi="Arial"/>
      <w:b/>
      <w:bCs/>
      <w:color w:val="666699"/>
      <w:kern w:val="32"/>
      <w:sz w:val="32"/>
      <w:szCs w:val="32"/>
      <w:lang w:val="en-GB" w:eastAsia="en-GB" w:bidi="ar-SA"/>
    </w:rPr>
  </w:style>
  <w:style w:type="character" w:customStyle="1" w:styleId="Heading2Char">
    <w:name w:val="Heading 2 Char"/>
    <w:aliases w:val="Outline2 Char"/>
    <w:link w:val="Heading2"/>
    <w:locked/>
    <w:rsid w:val="007C2079"/>
    <w:rPr>
      <w:rFonts w:ascii="Arial" w:hAnsi="Arial" w:cs="Arial"/>
      <w:b/>
      <w:bCs/>
      <w:iCs/>
      <w:color w:val="666699"/>
      <w:sz w:val="24"/>
      <w:szCs w:val="28"/>
      <w:lang w:val="en-GB" w:eastAsia="en-GB" w:bidi="ar-SA"/>
    </w:rPr>
  </w:style>
  <w:style w:type="paragraph" w:styleId="Header">
    <w:name w:val="header"/>
    <w:basedOn w:val="Normal"/>
    <w:link w:val="HeaderChar"/>
    <w:rsid w:val="00C007EE"/>
    <w:pPr>
      <w:tabs>
        <w:tab w:val="center" w:pos="4153"/>
        <w:tab w:val="right" w:pos="8306"/>
      </w:tabs>
    </w:pPr>
  </w:style>
  <w:style w:type="character" w:customStyle="1" w:styleId="HeaderChar">
    <w:name w:val="Header Char"/>
    <w:link w:val="Header"/>
    <w:locked/>
    <w:rsid w:val="00C007EE"/>
    <w:rPr>
      <w:rFonts w:ascii="Arial" w:hAnsi="Arial"/>
      <w:szCs w:val="24"/>
      <w:lang w:val="en-GB" w:eastAsia="en-GB" w:bidi="ar-SA"/>
    </w:rPr>
  </w:style>
  <w:style w:type="paragraph" w:styleId="Footer">
    <w:name w:val="footer"/>
    <w:basedOn w:val="Normal"/>
    <w:link w:val="FooterChar"/>
    <w:uiPriority w:val="99"/>
    <w:rsid w:val="00C007EE"/>
    <w:pPr>
      <w:tabs>
        <w:tab w:val="center" w:pos="4153"/>
        <w:tab w:val="right" w:pos="8306"/>
      </w:tabs>
    </w:pPr>
    <w:rPr>
      <w:sz w:val="16"/>
    </w:rPr>
  </w:style>
  <w:style w:type="character" w:customStyle="1" w:styleId="FooterChar">
    <w:name w:val="Footer Char"/>
    <w:link w:val="Footer"/>
    <w:uiPriority w:val="99"/>
    <w:locked/>
    <w:rsid w:val="00C007EE"/>
    <w:rPr>
      <w:rFonts w:ascii="Arial" w:hAnsi="Arial"/>
      <w:sz w:val="16"/>
      <w:szCs w:val="24"/>
      <w:lang w:val="en-GB" w:eastAsia="en-GB" w:bidi="ar-SA"/>
    </w:rPr>
  </w:style>
  <w:style w:type="character" w:styleId="Hyperlink">
    <w:name w:val="Hyperlink"/>
    <w:uiPriority w:val="99"/>
    <w:rsid w:val="004A4C03"/>
    <w:rPr>
      <w:rFonts w:ascii="Arial" w:hAnsi="Arial"/>
      <w:dstrike w:val="0"/>
      <w:color w:val="333399"/>
      <w:u w:val="single"/>
      <w:vertAlign w:val="baseline"/>
    </w:rPr>
  </w:style>
  <w:style w:type="paragraph" w:styleId="z-TopofForm">
    <w:name w:val="HTML Top of Form"/>
    <w:basedOn w:val="Normal"/>
    <w:next w:val="Normal"/>
    <w:hidden/>
    <w:rsid w:val="00C91E49"/>
    <w:pPr>
      <w:pBdr>
        <w:bottom w:val="single" w:sz="6" w:space="1" w:color="auto"/>
      </w:pBdr>
      <w:jc w:val="center"/>
    </w:pPr>
    <w:rPr>
      <w:rFonts w:cs="Arial"/>
      <w:vanish/>
      <w:sz w:val="16"/>
      <w:szCs w:val="16"/>
    </w:rPr>
  </w:style>
  <w:style w:type="paragraph" w:styleId="z-BottomofForm">
    <w:name w:val="HTML Bottom of Form"/>
    <w:basedOn w:val="Normal"/>
    <w:next w:val="Normal"/>
    <w:hidden/>
    <w:rsid w:val="00C91E49"/>
    <w:pPr>
      <w:pBdr>
        <w:top w:val="single" w:sz="6" w:space="1" w:color="auto"/>
      </w:pBdr>
      <w:jc w:val="center"/>
    </w:pPr>
    <w:rPr>
      <w:rFonts w:cs="Arial"/>
      <w:vanish/>
      <w:sz w:val="16"/>
      <w:szCs w:val="16"/>
    </w:rPr>
  </w:style>
  <w:style w:type="character" w:styleId="CommentReference">
    <w:name w:val="annotation reference"/>
    <w:semiHidden/>
    <w:rsid w:val="00C007EE"/>
    <w:rPr>
      <w:sz w:val="16"/>
      <w:szCs w:val="16"/>
    </w:rPr>
  </w:style>
  <w:style w:type="paragraph" w:styleId="CommentText">
    <w:name w:val="annotation text"/>
    <w:basedOn w:val="Normal"/>
    <w:semiHidden/>
    <w:rsid w:val="00C007EE"/>
    <w:rPr>
      <w:szCs w:val="20"/>
    </w:rPr>
  </w:style>
  <w:style w:type="paragraph" w:styleId="CommentSubject">
    <w:name w:val="annotation subject"/>
    <w:basedOn w:val="CommentText"/>
    <w:next w:val="CommentText"/>
    <w:semiHidden/>
    <w:rsid w:val="00C007EE"/>
    <w:rPr>
      <w:b/>
      <w:bCs/>
    </w:rPr>
  </w:style>
  <w:style w:type="paragraph" w:styleId="BalloonText">
    <w:name w:val="Balloon Text"/>
    <w:basedOn w:val="Normal"/>
    <w:link w:val="BalloonTextChar"/>
    <w:semiHidden/>
    <w:rsid w:val="00C007EE"/>
    <w:rPr>
      <w:rFonts w:ascii="Tahoma" w:hAnsi="Tahoma" w:cs="Tahoma"/>
      <w:sz w:val="16"/>
      <w:szCs w:val="16"/>
      <w:lang w:eastAsia="en-US"/>
    </w:rPr>
  </w:style>
  <w:style w:type="character" w:customStyle="1" w:styleId="BalloonTextChar">
    <w:name w:val="Balloon Text Char"/>
    <w:link w:val="BalloonText"/>
    <w:semiHidden/>
    <w:locked/>
    <w:rsid w:val="00C007EE"/>
    <w:rPr>
      <w:rFonts w:ascii="Tahoma" w:hAnsi="Tahoma" w:cs="Tahoma"/>
      <w:sz w:val="16"/>
      <w:szCs w:val="16"/>
      <w:lang w:val="en-GB" w:eastAsia="en-US" w:bidi="ar-SA"/>
    </w:rPr>
  </w:style>
  <w:style w:type="paragraph" w:styleId="FootnoteText">
    <w:name w:val="footnote text"/>
    <w:basedOn w:val="Normal"/>
    <w:semiHidden/>
    <w:rsid w:val="00C007EE"/>
    <w:rPr>
      <w:szCs w:val="20"/>
    </w:rPr>
  </w:style>
  <w:style w:type="character" w:styleId="FootnoteReference">
    <w:name w:val="footnote reference"/>
    <w:uiPriority w:val="99"/>
    <w:semiHidden/>
    <w:rsid w:val="00C007EE"/>
    <w:rPr>
      <w:vertAlign w:val="superscript"/>
    </w:rPr>
  </w:style>
  <w:style w:type="character" w:styleId="FollowedHyperlink">
    <w:name w:val="FollowedHyperlink"/>
    <w:uiPriority w:val="99"/>
    <w:rsid w:val="004A4C03"/>
    <w:rPr>
      <w:rFonts w:ascii="Arial" w:hAnsi="Arial"/>
      <w:color w:val="606420"/>
      <w:u w:val="single"/>
    </w:rPr>
  </w:style>
  <w:style w:type="paragraph" w:styleId="TOC3">
    <w:name w:val="toc 3"/>
    <w:basedOn w:val="Normal"/>
    <w:next w:val="Normal"/>
    <w:autoRedefine/>
    <w:uiPriority w:val="39"/>
    <w:rsid w:val="006221F1"/>
    <w:pPr>
      <w:tabs>
        <w:tab w:val="right" w:leader="dot" w:pos="9016"/>
      </w:tabs>
      <w:ind w:left="403"/>
      <w:contextualSpacing/>
    </w:pPr>
    <w:rPr>
      <w:rFonts w:ascii="Times New Roman" w:hAnsi="Times New Roman"/>
      <w:szCs w:val="20"/>
    </w:rPr>
  </w:style>
  <w:style w:type="paragraph" w:customStyle="1" w:styleId="BodyTextnumberred">
    <w:name w:val="Body Text (numberred)"/>
    <w:basedOn w:val="BodyText"/>
    <w:rsid w:val="00410AFC"/>
    <w:pPr>
      <w:numPr>
        <w:numId w:val="3"/>
      </w:numPr>
      <w:tabs>
        <w:tab w:val="clear" w:pos="425"/>
      </w:tabs>
      <w:spacing w:after="60"/>
      <w:ind w:left="924" w:hanging="357"/>
    </w:pPr>
  </w:style>
  <w:style w:type="paragraph" w:styleId="TOC2">
    <w:name w:val="toc 2"/>
    <w:basedOn w:val="Normal"/>
    <w:next w:val="Normal"/>
    <w:autoRedefine/>
    <w:uiPriority w:val="39"/>
    <w:rsid w:val="006221F1"/>
    <w:pPr>
      <w:tabs>
        <w:tab w:val="right" w:leader="dot" w:pos="9016"/>
      </w:tabs>
      <w:spacing w:before="60"/>
      <w:ind w:left="198"/>
    </w:pPr>
    <w:rPr>
      <w:rFonts w:ascii="Times New Roman" w:hAnsi="Times New Roman"/>
      <w:i/>
      <w:iCs/>
      <w:szCs w:val="20"/>
    </w:rPr>
  </w:style>
  <w:style w:type="paragraph" w:styleId="TOC4">
    <w:name w:val="toc 4"/>
    <w:basedOn w:val="Normal"/>
    <w:next w:val="Normal"/>
    <w:autoRedefine/>
    <w:semiHidden/>
    <w:rsid w:val="00AE2BEB"/>
    <w:pPr>
      <w:ind w:left="600"/>
    </w:pPr>
    <w:rPr>
      <w:rFonts w:ascii="Times New Roman" w:hAnsi="Times New Roman"/>
      <w:szCs w:val="20"/>
    </w:rPr>
  </w:style>
  <w:style w:type="paragraph" w:customStyle="1" w:styleId="TableChartFootnote">
    <w:name w:val="Table/Chart Footnote"/>
    <w:basedOn w:val="Normal"/>
    <w:next w:val="BodyText"/>
    <w:rsid w:val="006422B5"/>
    <w:pPr>
      <w:tabs>
        <w:tab w:val="left" w:pos="567"/>
      </w:tabs>
      <w:spacing w:after="480"/>
      <w:ind w:left="567" w:hanging="567"/>
    </w:pPr>
    <w:rPr>
      <w:sz w:val="18"/>
    </w:rPr>
  </w:style>
  <w:style w:type="paragraph" w:customStyle="1" w:styleId="TableChartTitle">
    <w:name w:val="Table/Chart Title"/>
    <w:basedOn w:val="Normal"/>
    <w:next w:val="Normal"/>
    <w:rsid w:val="00FC3AFC"/>
    <w:pPr>
      <w:tabs>
        <w:tab w:val="right" w:pos="9015"/>
      </w:tabs>
      <w:spacing w:before="480" w:after="60"/>
    </w:pPr>
    <w:rPr>
      <w:color w:val="666699"/>
      <w:sz w:val="24"/>
    </w:rPr>
  </w:style>
  <w:style w:type="paragraph" w:styleId="Title">
    <w:name w:val="Title"/>
    <w:basedOn w:val="Normal"/>
    <w:next w:val="Normal"/>
    <w:link w:val="TitleChar"/>
    <w:qFormat/>
    <w:rsid w:val="00AE2BEB"/>
    <w:pPr>
      <w:pBdr>
        <w:bottom w:val="single" w:sz="8" w:space="4" w:color="4F81BD"/>
      </w:pBdr>
      <w:spacing w:after="480"/>
      <w:contextualSpacing/>
    </w:pPr>
    <w:rPr>
      <w:rFonts w:eastAsia="Arial"/>
      <w:color w:val="17365D"/>
      <w:spacing w:val="5"/>
      <w:kern w:val="28"/>
      <w:sz w:val="36"/>
      <w:szCs w:val="52"/>
      <w:lang w:eastAsia="en-US"/>
    </w:rPr>
  </w:style>
  <w:style w:type="character" w:customStyle="1" w:styleId="TitleChar">
    <w:name w:val="Title Char"/>
    <w:link w:val="Title"/>
    <w:locked/>
    <w:rsid w:val="00AE2BEB"/>
    <w:rPr>
      <w:rFonts w:ascii="Arial" w:eastAsia="Arial" w:hAnsi="Arial"/>
      <w:color w:val="17365D"/>
      <w:spacing w:val="5"/>
      <w:kern w:val="28"/>
      <w:sz w:val="36"/>
      <w:szCs w:val="52"/>
      <w:lang w:val="en-GB" w:eastAsia="en-US" w:bidi="ar-SA"/>
    </w:rPr>
  </w:style>
  <w:style w:type="paragraph" w:customStyle="1" w:styleId="BodyTextBulletted">
    <w:name w:val="Body Text (Bulletted)"/>
    <w:basedOn w:val="BodyText"/>
    <w:link w:val="BodyTextBullettedChar"/>
    <w:rsid w:val="00C007EE"/>
    <w:pPr>
      <w:numPr>
        <w:numId w:val="2"/>
      </w:numPr>
      <w:tabs>
        <w:tab w:val="clear" w:pos="425"/>
      </w:tabs>
      <w:spacing w:after="60"/>
    </w:pPr>
  </w:style>
  <w:style w:type="character" w:customStyle="1" w:styleId="BodyTextBullettedChar">
    <w:name w:val="Body Text (Bulletted) Char"/>
    <w:basedOn w:val="BodyTextChar"/>
    <w:link w:val="BodyTextBulletted"/>
    <w:rsid w:val="00C007EE"/>
    <w:rPr>
      <w:rFonts w:ascii="Arial" w:hAnsi="Arial"/>
      <w:sz w:val="22"/>
      <w:szCs w:val="24"/>
      <w:lang w:val="en-GB" w:eastAsia="en-GB" w:bidi="ar-SA"/>
    </w:rPr>
  </w:style>
  <w:style w:type="paragraph" w:styleId="Index2">
    <w:name w:val="index 2"/>
    <w:basedOn w:val="Normal"/>
    <w:next w:val="Normal"/>
    <w:autoRedefine/>
    <w:semiHidden/>
    <w:rsid w:val="00C007EE"/>
    <w:pPr>
      <w:ind w:left="400" w:hanging="200"/>
    </w:pPr>
  </w:style>
  <w:style w:type="paragraph" w:styleId="TOC1">
    <w:name w:val="toc 1"/>
    <w:basedOn w:val="Normal"/>
    <w:next w:val="Normal"/>
    <w:autoRedefine/>
    <w:uiPriority w:val="39"/>
    <w:rsid w:val="006221F1"/>
    <w:pPr>
      <w:tabs>
        <w:tab w:val="right" w:leader="dot" w:pos="9016"/>
      </w:tabs>
      <w:spacing w:before="60" w:after="60"/>
    </w:pPr>
    <w:rPr>
      <w:rFonts w:ascii="Times New Roman" w:hAnsi="Times New Roman"/>
      <w:b/>
      <w:bCs/>
      <w:szCs w:val="20"/>
    </w:rPr>
  </w:style>
  <w:style w:type="character" w:styleId="PageNumber">
    <w:name w:val="page number"/>
    <w:basedOn w:val="DefaultParagraphFont"/>
    <w:rsid w:val="00FB097D"/>
  </w:style>
  <w:style w:type="paragraph" w:styleId="TOC5">
    <w:name w:val="toc 5"/>
    <w:basedOn w:val="Normal"/>
    <w:next w:val="Normal"/>
    <w:autoRedefine/>
    <w:semiHidden/>
    <w:rsid w:val="00F172DA"/>
    <w:pPr>
      <w:ind w:left="800"/>
    </w:pPr>
    <w:rPr>
      <w:rFonts w:ascii="Times New Roman" w:hAnsi="Times New Roman"/>
      <w:szCs w:val="20"/>
    </w:rPr>
  </w:style>
  <w:style w:type="paragraph" w:styleId="TOC6">
    <w:name w:val="toc 6"/>
    <w:basedOn w:val="Normal"/>
    <w:next w:val="Normal"/>
    <w:autoRedefine/>
    <w:semiHidden/>
    <w:rsid w:val="00F172DA"/>
    <w:pPr>
      <w:ind w:left="1000"/>
    </w:pPr>
    <w:rPr>
      <w:rFonts w:ascii="Times New Roman" w:hAnsi="Times New Roman"/>
      <w:szCs w:val="20"/>
    </w:rPr>
  </w:style>
  <w:style w:type="paragraph" w:styleId="TOC7">
    <w:name w:val="toc 7"/>
    <w:basedOn w:val="Normal"/>
    <w:next w:val="Normal"/>
    <w:autoRedefine/>
    <w:semiHidden/>
    <w:rsid w:val="00F172DA"/>
    <w:pPr>
      <w:ind w:left="1200"/>
    </w:pPr>
    <w:rPr>
      <w:rFonts w:ascii="Times New Roman" w:hAnsi="Times New Roman"/>
      <w:szCs w:val="20"/>
    </w:rPr>
  </w:style>
  <w:style w:type="paragraph" w:styleId="TOC8">
    <w:name w:val="toc 8"/>
    <w:basedOn w:val="Normal"/>
    <w:next w:val="Normal"/>
    <w:autoRedefine/>
    <w:semiHidden/>
    <w:rsid w:val="00F172DA"/>
    <w:pPr>
      <w:ind w:left="1400"/>
    </w:pPr>
    <w:rPr>
      <w:rFonts w:ascii="Times New Roman" w:hAnsi="Times New Roman"/>
      <w:szCs w:val="20"/>
    </w:rPr>
  </w:style>
  <w:style w:type="paragraph" w:styleId="TOC9">
    <w:name w:val="toc 9"/>
    <w:basedOn w:val="Normal"/>
    <w:next w:val="Normal"/>
    <w:autoRedefine/>
    <w:semiHidden/>
    <w:rsid w:val="00F172DA"/>
    <w:pPr>
      <w:ind w:left="1600"/>
    </w:pPr>
    <w:rPr>
      <w:rFonts w:ascii="Times New Roman" w:hAnsi="Times New Roman"/>
      <w:szCs w:val="20"/>
    </w:rPr>
  </w:style>
  <w:style w:type="table" w:styleId="TableGrid">
    <w:name w:val="Table Grid"/>
    <w:basedOn w:val="TableNormal"/>
    <w:rsid w:val="000E3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E1D8A"/>
    <w:rPr>
      <w:rFonts w:ascii="Arial" w:hAnsi="Arial"/>
      <w:szCs w:val="24"/>
    </w:rPr>
  </w:style>
  <w:style w:type="numbering" w:customStyle="1" w:styleId="NoList1">
    <w:name w:val="No List1"/>
    <w:next w:val="NoList"/>
    <w:uiPriority w:val="99"/>
    <w:semiHidden/>
    <w:unhideWhenUsed/>
    <w:rsid w:val="00F878CD"/>
  </w:style>
  <w:style w:type="paragraph" w:customStyle="1" w:styleId="Bulletted">
    <w:name w:val="Bulletted"/>
    <w:basedOn w:val="Normal"/>
    <w:next w:val="Normal"/>
    <w:rsid w:val="00F878CD"/>
    <w:pPr>
      <w:numPr>
        <w:numId w:val="5"/>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sz w:val="24"/>
      <w:szCs w:val="20"/>
      <w:lang w:eastAsia="en-US"/>
    </w:rPr>
  </w:style>
  <w:style w:type="paragraph" w:customStyle="1" w:styleId="Outline4">
    <w:name w:val="Outline4"/>
    <w:basedOn w:val="Normal"/>
    <w:next w:val="Normal"/>
    <w:rsid w:val="00F878CD"/>
    <w:pPr>
      <w:tabs>
        <w:tab w:val="left" w:pos="720"/>
        <w:tab w:val="left" w:pos="1440"/>
        <w:tab w:val="left" w:pos="2160"/>
        <w:tab w:val="left" w:pos="2880"/>
        <w:tab w:val="left" w:pos="4680"/>
        <w:tab w:val="left" w:pos="5400"/>
        <w:tab w:val="right" w:pos="9000"/>
      </w:tabs>
      <w:spacing w:line="240" w:lineRule="atLeast"/>
      <w:ind w:left="2160"/>
      <w:jc w:val="both"/>
    </w:pPr>
    <w:rPr>
      <w:kern w:val="24"/>
      <w:sz w:val="24"/>
      <w:szCs w:val="20"/>
      <w:lang w:eastAsia="en-US"/>
    </w:rPr>
  </w:style>
  <w:style w:type="paragraph" w:customStyle="1" w:styleId="Outline5">
    <w:name w:val="Outline5"/>
    <w:basedOn w:val="Normal"/>
    <w:next w:val="Normal"/>
    <w:rsid w:val="00F878CD"/>
    <w:pPr>
      <w:tabs>
        <w:tab w:val="left" w:pos="720"/>
        <w:tab w:val="left" w:pos="1440"/>
        <w:tab w:val="left" w:pos="2160"/>
        <w:tab w:val="left" w:pos="2880"/>
        <w:tab w:val="left" w:pos="4680"/>
        <w:tab w:val="left" w:pos="5400"/>
        <w:tab w:val="right" w:pos="9000"/>
      </w:tabs>
      <w:spacing w:line="240" w:lineRule="atLeast"/>
      <w:ind w:left="720"/>
      <w:jc w:val="both"/>
    </w:pPr>
    <w:rPr>
      <w:kern w:val="24"/>
      <w:sz w:val="24"/>
      <w:szCs w:val="20"/>
      <w:lang w:eastAsia="en-US"/>
    </w:rPr>
  </w:style>
  <w:style w:type="paragraph" w:customStyle="1" w:styleId="Outline6">
    <w:name w:val="Outline6"/>
    <w:basedOn w:val="Normal"/>
    <w:next w:val="Normal"/>
    <w:rsid w:val="00F878CD"/>
    <w:pPr>
      <w:tabs>
        <w:tab w:val="left" w:pos="720"/>
        <w:tab w:val="left" w:pos="1440"/>
        <w:tab w:val="left" w:pos="2160"/>
        <w:tab w:val="left" w:pos="2880"/>
        <w:tab w:val="left" w:pos="4680"/>
        <w:tab w:val="left" w:pos="5400"/>
        <w:tab w:val="right" w:pos="9000"/>
      </w:tabs>
      <w:spacing w:after="240" w:line="240" w:lineRule="atLeast"/>
      <w:ind w:left="2160"/>
      <w:jc w:val="both"/>
    </w:pPr>
    <w:rPr>
      <w:kern w:val="24"/>
      <w:sz w:val="24"/>
      <w:szCs w:val="20"/>
      <w:lang w:eastAsia="en-US"/>
    </w:rPr>
  </w:style>
  <w:style w:type="paragraph" w:customStyle="1" w:styleId="Outline7">
    <w:name w:val="Outline7"/>
    <w:basedOn w:val="Normal"/>
    <w:next w:val="Normal"/>
    <w:rsid w:val="00F878CD"/>
    <w:pPr>
      <w:tabs>
        <w:tab w:val="left" w:pos="720"/>
        <w:tab w:val="left" w:pos="1440"/>
        <w:tab w:val="left" w:pos="2160"/>
        <w:tab w:val="left" w:pos="2880"/>
        <w:tab w:val="left" w:pos="4680"/>
        <w:tab w:val="left" w:pos="5400"/>
        <w:tab w:val="right" w:pos="9000"/>
      </w:tabs>
      <w:spacing w:after="240" w:line="240" w:lineRule="atLeast"/>
      <w:ind w:left="720"/>
      <w:jc w:val="both"/>
    </w:pPr>
    <w:rPr>
      <w:kern w:val="24"/>
      <w:sz w:val="24"/>
      <w:szCs w:val="20"/>
      <w:lang w:eastAsia="en-US"/>
    </w:rPr>
  </w:style>
  <w:style w:type="paragraph" w:customStyle="1" w:styleId="xl65">
    <w:name w:val="xl65"/>
    <w:basedOn w:val="Normal"/>
    <w:rsid w:val="00F878CD"/>
    <w:pPr>
      <w:shd w:val="clear" w:color="000000" w:fill="FFFFFF"/>
      <w:spacing w:before="100" w:beforeAutospacing="1" w:after="100" w:afterAutospacing="1"/>
    </w:pPr>
    <w:rPr>
      <w:rFonts w:ascii="Times New Roman" w:hAnsi="Times New Roman"/>
      <w:b/>
      <w:bCs/>
      <w:sz w:val="24"/>
    </w:rPr>
  </w:style>
  <w:style w:type="paragraph" w:customStyle="1" w:styleId="xl66">
    <w:name w:val="xl66"/>
    <w:basedOn w:val="Normal"/>
    <w:rsid w:val="00F878CD"/>
    <w:pPr>
      <w:pBdr>
        <w:top w:val="single" w:sz="8" w:space="0" w:color="auto"/>
        <w:bottom w:val="single" w:sz="8" w:space="0" w:color="auto"/>
      </w:pBdr>
      <w:shd w:val="clear" w:color="000000" w:fill="FFFFFF"/>
      <w:spacing w:before="100" w:beforeAutospacing="1" w:after="100" w:afterAutospacing="1"/>
    </w:pPr>
    <w:rPr>
      <w:rFonts w:ascii="Times New Roman" w:hAnsi="Times New Roman"/>
      <w:b/>
      <w:bCs/>
      <w:sz w:val="24"/>
    </w:rPr>
  </w:style>
  <w:style w:type="paragraph" w:customStyle="1" w:styleId="xl67">
    <w:name w:val="xl67"/>
    <w:basedOn w:val="Normal"/>
    <w:rsid w:val="00F878CD"/>
    <w:pPr>
      <w:pBdr>
        <w:top w:val="single" w:sz="8" w:space="0" w:color="auto"/>
        <w:bottom w:val="single" w:sz="8" w:space="0" w:color="auto"/>
      </w:pBdr>
      <w:shd w:val="clear" w:color="000000" w:fill="FFFFFF"/>
      <w:spacing w:before="100" w:beforeAutospacing="1" w:after="100" w:afterAutospacing="1"/>
    </w:pPr>
    <w:rPr>
      <w:rFonts w:ascii="Times New Roman" w:hAnsi="Times New Roman"/>
      <w:b/>
      <w:bCs/>
      <w:sz w:val="24"/>
    </w:rPr>
  </w:style>
  <w:style w:type="paragraph" w:customStyle="1" w:styleId="xl68">
    <w:name w:val="xl68"/>
    <w:basedOn w:val="Normal"/>
    <w:rsid w:val="00F878CD"/>
    <w:pPr>
      <w:pBdr>
        <w:top w:val="single" w:sz="8" w:space="0" w:color="auto"/>
        <w:bottom w:val="single" w:sz="8" w:space="0" w:color="auto"/>
      </w:pBdr>
      <w:shd w:val="clear" w:color="000000" w:fill="FFFFFF"/>
      <w:spacing w:before="100" w:beforeAutospacing="1" w:after="100" w:afterAutospacing="1"/>
    </w:pPr>
    <w:rPr>
      <w:rFonts w:ascii="Times New Roman" w:hAnsi="Times New Roman"/>
      <w:b/>
      <w:bCs/>
      <w:sz w:val="24"/>
    </w:rPr>
  </w:style>
  <w:style w:type="paragraph" w:customStyle="1" w:styleId="xl69">
    <w:name w:val="xl69"/>
    <w:basedOn w:val="Normal"/>
    <w:rsid w:val="00F878CD"/>
    <w:pPr>
      <w:shd w:val="clear" w:color="000000" w:fill="FFFFFF"/>
      <w:spacing w:before="100" w:beforeAutospacing="1" w:after="100" w:afterAutospacing="1"/>
    </w:pPr>
    <w:rPr>
      <w:rFonts w:ascii="Times New Roman" w:hAnsi="Times New Roman"/>
      <w:b/>
      <w:bCs/>
      <w:sz w:val="24"/>
    </w:rPr>
  </w:style>
  <w:style w:type="paragraph" w:customStyle="1" w:styleId="xl70">
    <w:name w:val="xl70"/>
    <w:basedOn w:val="Normal"/>
    <w:rsid w:val="00F878CD"/>
    <w:pPr>
      <w:shd w:val="clear" w:color="000000" w:fill="FFFFFF"/>
      <w:spacing w:before="100" w:beforeAutospacing="1" w:after="100" w:afterAutospacing="1"/>
    </w:pPr>
    <w:rPr>
      <w:rFonts w:ascii="Times New Roman" w:hAnsi="Times New Roman"/>
      <w:sz w:val="24"/>
    </w:rPr>
  </w:style>
  <w:style w:type="paragraph" w:customStyle="1" w:styleId="xl71">
    <w:name w:val="xl71"/>
    <w:basedOn w:val="Normal"/>
    <w:rsid w:val="00F878CD"/>
    <w:pPr>
      <w:pBdr>
        <w:bottom w:val="single" w:sz="4" w:space="0" w:color="auto"/>
      </w:pBdr>
      <w:shd w:val="clear" w:color="000000" w:fill="FFFFFF"/>
      <w:spacing w:before="100" w:beforeAutospacing="1" w:after="100" w:afterAutospacing="1"/>
    </w:pPr>
    <w:rPr>
      <w:rFonts w:ascii="Times New Roman" w:hAnsi="Times New Roman"/>
      <w:b/>
      <w:bCs/>
      <w:sz w:val="24"/>
    </w:rPr>
  </w:style>
  <w:style w:type="paragraph" w:customStyle="1" w:styleId="xl72">
    <w:name w:val="xl72"/>
    <w:basedOn w:val="Normal"/>
    <w:rsid w:val="00F878CD"/>
    <w:pPr>
      <w:pBdr>
        <w:bottom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73">
    <w:name w:val="xl73"/>
    <w:basedOn w:val="Normal"/>
    <w:rsid w:val="00F878CD"/>
    <w:pPr>
      <w:pBdr>
        <w:bottom w:val="single" w:sz="4" w:space="0" w:color="auto"/>
      </w:pBdr>
      <w:shd w:val="clear" w:color="000000" w:fill="FFFFFF"/>
      <w:spacing w:before="100" w:beforeAutospacing="1" w:after="100" w:afterAutospacing="1"/>
    </w:pPr>
    <w:rPr>
      <w:rFonts w:ascii="Times New Roman" w:hAnsi="Times New Roman"/>
      <w:b/>
      <w:bCs/>
      <w:sz w:val="24"/>
    </w:rPr>
  </w:style>
  <w:style w:type="paragraph" w:customStyle="1" w:styleId="xl74">
    <w:name w:val="xl74"/>
    <w:basedOn w:val="Normal"/>
    <w:rsid w:val="00F878CD"/>
    <w:pPr>
      <w:pBdr>
        <w:bottom w:val="single" w:sz="8" w:space="0" w:color="auto"/>
      </w:pBdr>
      <w:shd w:val="clear" w:color="000000" w:fill="FFFFFF"/>
      <w:spacing w:before="100" w:beforeAutospacing="1" w:after="100" w:afterAutospacing="1"/>
    </w:pPr>
    <w:rPr>
      <w:rFonts w:ascii="Times New Roman" w:hAnsi="Times New Roman"/>
      <w:b/>
      <w:bCs/>
      <w:sz w:val="24"/>
    </w:rPr>
  </w:style>
  <w:style w:type="paragraph" w:customStyle="1" w:styleId="xl75">
    <w:name w:val="xl75"/>
    <w:basedOn w:val="Normal"/>
    <w:rsid w:val="00F878CD"/>
    <w:pPr>
      <w:pBdr>
        <w:bottom w:val="single" w:sz="8" w:space="0" w:color="auto"/>
      </w:pBdr>
      <w:shd w:val="clear" w:color="000000" w:fill="FFFFFF"/>
      <w:spacing w:before="100" w:beforeAutospacing="1" w:after="100" w:afterAutospacing="1"/>
    </w:pPr>
    <w:rPr>
      <w:rFonts w:ascii="Times New Roman" w:hAnsi="Times New Roman"/>
      <w:sz w:val="24"/>
    </w:rPr>
  </w:style>
  <w:style w:type="paragraph" w:customStyle="1" w:styleId="xl76">
    <w:name w:val="xl76"/>
    <w:basedOn w:val="Normal"/>
    <w:rsid w:val="00F878CD"/>
    <w:pPr>
      <w:spacing w:before="100" w:beforeAutospacing="1" w:after="100" w:afterAutospacing="1"/>
    </w:pPr>
    <w:rPr>
      <w:rFonts w:ascii="Times New Roman" w:hAnsi="Times New Roman"/>
      <w:b/>
      <w:bCs/>
      <w:sz w:val="24"/>
    </w:rPr>
  </w:style>
  <w:style w:type="paragraph" w:styleId="EndnoteText">
    <w:name w:val="endnote text"/>
    <w:basedOn w:val="Normal"/>
    <w:link w:val="EndnoteTextChar"/>
    <w:rsid w:val="00E636B1"/>
    <w:rPr>
      <w:szCs w:val="20"/>
    </w:rPr>
  </w:style>
  <w:style w:type="character" w:customStyle="1" w:styleId="EndnoteTextChar">
    <w:name w:val="Endnote Text Char"/>
    <w:basedOn w:val="DefaultParagraphFont"/>
    <w:link w:val="EndnoteText"/>
    <w:rsid w:val="00E636B1"/>
    <w:rPr>
      <w:rFonts w:ascii="Arial" w:hAnsi="Arial"/>
    </w:rPr>
  </w:style>
  <w:style w:type="character" w:styleId="EndnoteReference">
    <w:name w:val="endnote reference"/>
    <w:basedOn w:val="DefaultParagraphFont"/>
    <w:rsid w:val="0071658C"/>
    <w:rPr>
      <w:vertAlign w:val="superscript"/>
    </w:rPr>
  </w:style>
  <w:style w:type="numbering" w:customStyle="1" w:styleId="NoList2">
    <w:name w:val="No List2"/>
    <w:next w:val="NoList"/>
    <w:uiPriority w:val="99"/>
    <w:semiHidden/>
    <w:unhideWhenUsed/>
    <w:rsid w:val="00C77BF9"/>
  </w:style>
  <w:style w:type="paragraph" w:customStyle="1" w:styleId="xl77">
    <w:name w:val="xl77"/>
    <w:basedOn w:val="Normal"/>
    <w:rsid w:val="00C77BF9"/>
    <w:pPr>
      <w:pBdr>
        <w:bottom w:val="single" w:sz="8" w:space="0" w:color="auto"/>
      </w:pBdr>
      <w:shd w:val="clear" w:color="000000" w:fill="FFFFFF"/>
      <w:spacing w:before="100" w:beforeAutospacing="1" w:after="100" w:afterAutospacing="1"/>
    </w:pPr>
    <w:rPr>
      <w:rFonts w:ascii="Times New Roman" w:hAnsi="Times New Roman"/>
      <w:b/>
      <w:bCs/>
      <w:sz w:val="24"/>
    </w:rPr>
  </w:style>
  <w:style w:type="paragraph" w:customStyle="1" w:styleId="xl78">
    <w:name w:val="xl78"/>
    <w:basedOn w:val="Normal"/>
    <w:rsid w:val="00C77BF9"/>
    <w:pPr>
      <w:pBdr>
        <w:bottom w:val="single" w:sz="8" w:space="0" w:color="auto"/>
      </w:pBdr>
      <w:shd w:val="clear" w:color="000000" w:fill="FFFFFF"/>
      <w:spacing w:before="100" w:beforeAutospacing="1" w:after="100" w:afterAutospacing="1"/>
    </w:pPr>
    <w:rPr>
      <w:rFonts w:ascii="Times New Roman" w:hAnsi="Times New Roman"/>
      <w:sz w:val="24"/>
    </w:rPr>
  </w:style>
  <w:style w:type="paragraph" w:customStyle="1" w:styleId="xl79">
    <w:name w:val="xl79"/>
    <w:basedOn w:val="Normal"/>
    <w:rsid w:val="00C77BF9"/>
    <w:pPr>
      <w:pBdr>
        <w:bottom w:val="single" w:sz="8" w:space="0" w:color="auto"/>
      </w:pBdr>
      <w:shd w:val="clear" w:color="000000" w:fill="FFFFFF"/>
      <w:spacing w:before="100" w:beforeAutospacing="1" w:after="100" w:afterAutospacing="1"/>
    </w:pPr>
    <w:rPr>
      <w:rFonts w:ascii="Times New Roman" w:hAnsi="Times New Roman"/>
      <w:sz w:val="24"/>
    </w:rPr>
  </w:style>
  <w:style w:type="paragraph" w:customStyle="1" w:styleId="xl80">
    <w:name w:val="xl80"/>
    <w:basedOn w:val="Normal"/>
    <w:rsid w:val="00C77BF9"/>
    <w:pPr>
      <w:spacing w:before="100" w:beforeAutospacing="1" w:after="100" w:afterAutospacing="1"/>
    </w:pPr>
    <w:rPr>
      <w:rFonts w:ascii="Times New Roman" w:hAnsi="Times New Roman"/>
      <w:b/>
      <w:bCs/>
      <w:sz w:val="24"/>
    </w:rPr>
  </w:style>
  <w:style w:type="paragraph" w:customStyle="1" w:styleId="xl81">
    <w:name w:val="xl81"/>
    <w:basedOn w:val="Normal"/>
    <w:rsid w:val="00C77BF9"/>
    <w:pPr>
      <w:pBdr>
        <w:top w:val="single" w:sz="8" w:space="0" w:color="auto"/>
        <w:bottom w:val="single" w:sz="8" w:space="0" w:color="auto"/>
      </w:pBdr>
      <w:shd w:val="clear" w:color="000000" w:fill="FFFFFF"/>
      <w:spacing w:before="100" w:beforeAutospacing="1" w:after="100" w:afterAutospacing="1"/>
    </w:pPr>
    <w:rPr>
      <w:rFonts w:ascii="Times New Roman" w:hAnsi="Times New Roman"/>
      <w:b/>
      <w:bCs/>
      <w:sz w:val="24"/>
    </w:rPr>
  </w:style>
  <w:style w:type="character" w:styleId="PlaceholderText">
    <w:name w:val="Placeholder Text"/>
    <w:basedOn w:val="DefaultParagraphFont"/>
    <w:uiPriority w:val="99"/>
    <w:semiHidden/>
    <w:rsid w:val="00476778"/>
    <w:rPr>
      <w:color w:val="808080"/>
    </w:rPr>
  </w:style>
  <w:style w:type="paragraph" w:customStyle="1" w:styleId="xl82">
    <w:name w:val="xl82"/>
    <w:basedOn w:val="Normal"/>
    <w:rsid w:val="0046035A"/>
    <w:pPr>
      <w:pBdr>
        <w:bottom w:val="single" w:sz="4" w:space="0" w:color="auto"/>
      </w:pBdr>
      <w:shd w:val="clear" w:color="000000" w:fill="FFFFFF"/>
      <w:spacing w:before="100" w:beforeAutospacing="1" w:after="100" w:afterAutospacing="1"/>
      <w:textAlignment w:val="top"/>
    </w:pPr>
    <w:rPr>
      <w:rFonts w:ascii="Times New Roman" w:hAnsi="Times New Roman"/>
      <w:b/>
      <w:bCs/>
      <w:sz w:val="24"/>
    </w:rPr>
  </w:style>
  <w:style w:type="paragraph" w:customStyle="1" w:styleId="xl83">
    <w:name w:val="xl83"/>
    <w:basedOn w:val="Normal"/>
    <w:rsid w:val="0046035A"/>
    <w:pPr>
      <w:pBdr>
        <w:bottom w:val="single" w:sz="8" w:space="0" w:color="auto"/>
      </w:pBdr>
      <w:shd w:val="clear" w:color="000000" w:fill="FFFFFF"/>
      <w:spacing w:before="100" w:beforeAutospacing="1" w:after="100" w:afterAutospacing="1"/>
      <w:textAlignment w:val="top"/>
    </w:pPr>
    <w:rPr>
      <w:rFonts w:ascii="Times New Roman" w:hAnsi="Times New Roman"/>
      <w:b/>
      <w:bCs/>
      <w:sz w:val="24"/>
    </w:rPr>
  </w:style>
  <w:style w:type="paragraph" w:customStyle="1" w:styleId="xl84">
    <w:name w:val="xl84"/>
    <w:basedOn w:val="Normal"/>
    <w:rsid w:val="0046035A"/>
    <w:pPr>
      <w:pBdr>
        <w:bottom w:val="single" w:sz="8" w:space="0" w:color="auto"/>
      </w:pBdr>
      <w:shd w:val="clear" w:color="000000" w:fill="FFFFFF"/>
      <w:spacing w:before="100" w:beforeAutospacing="1" w:after="100" w:afterAutospacing="1"/>
      <w:textAlignment w:val="top"/>
    </w:pPr>
    <w:rPr>
      <w:rFonts w:ascii="Times New Roman" w:hAnsi="Times New Roman"/>
      <w:sz w:val="24"/>
    </w:rPr>
  </w:style>
  <w:style w:type="paragraph" w:customStyle="1" w:styleId="xl85">
    <w:name w:val="xl85"/>
    <w:basedOn w:val="Normal"/>
    <w:rsid w:val="00A5154D"/>
    <w:pPr>
      <w:spacing w:before="100" w:beforeAutospacing="1" w:after="100" w:afterAutospacing="1"/>
    </w:pPr>
    <w:rPr>
      <w:rFonts w:ascii="Times New Roman" w:hAnsi="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EC3"/>
    <w:rPr>
      <w:rFonts w:ascii="Arial" w:hAnsi="Arial"/>
      <w:szCs w:val="24"/>
    </w:rPr>
  </w:style>
  <w:style w:type="paragraph" w:styleId="Heading1">
    <w:name w:val="heading 1"/>
    <w:aliases w:val="Outline1"/>
    <w:basedOn w:val="Normal"/>
    <w:next w:val="BodyText"/>
    <w:link w:val="Heading1Char"/>
    <w:qFormat/>
    <w:rsid w:val="007C2079"/>
    <w:pPr>
      <w:keepNext/>
      <w:widowControl w:val="0"/>
      <w:pBdr>
        <w:bottom w:val="single" w:sz="4" w:space="1" w:color="auto"/>
      </w:pBdr>
      <w:spacing w:after="480"/>
      <w:outlineLvl w:val="0"/>
    </w:pPr>
    <w:rPr>
      <w:b/>
      <w:bCs/>
      <w:color w:val="666699"/>
      <w:kern w:val="32"/>
      <w:sz w:val="32"/>
      <w:szCs w:val="32"/>
    </w:rPr>
  </w:style>
  <w:style w:type="paragraph" w:styleId="Heading2">
    <w:name w:val="heading 2"/>
    <w:aliases w:val="Outline2"/>
    <w:basedOn w:val="Normal"/>
    <w:next w:val="Normal"/>
    <w:link w:val="Heading2Char"/>
    <w:qFormat/>
    <w:rsid w:val="007C2079"/>
    <w:pPr>
      <w:keepNext/>
      <w:widowControl w:val="0"/>
      <w:pBdr>
        <w:bottom w:val="single" w:sz="4" w:space="1" w:color="auto"/>
      </w:pBdr>
      <w:tabs>
        <w:tab w:val="left" w:pos="567"/>
      </w:tabs>
      <w:spacing w:before="480" w:after="240"/>
      <w:outlineLvl w:val="1"/>
    </w:pPr>
    <w:rPr>
      <w:rFonts w:cs="Arial"/>
      <w:b/>
      <w:bCs/>
      <w:iCs/>
      <w:color w:val="666699"/>
      <w:sz w:val="24"/>
      <w:szCs w:val="28"/>
    </w:rPr>
  </w:style>
  <w:style w:type="paragraph" w:styleId="Heading3">
    <w:name w:val="heading 3"/>
    <w:aliases w:val="Outline3"/>
    <w:basedOn w:val="Normal"/>
    <w:next w:val="Normal"/>
    <w:qFormat/>
    <w:rsid w:val="007C2079"/>
    <w:pPr>
      <w:keepNext/>
      <w:widowControl w:val="0"/>
      <w:spacing w:before="360" w:after="240"/>
      <w:outlineLvl w:val="2"/>
    </w:pPr>
    <w:rPr>
      <w:rFonts w:cs="Arial"/>
      <w:b/>
      <w:bCs/>
      <w:color w:val="666699"/>
      <w:sz w:val="24"/>
      <w:szCs w:val="26"/>
    </w:rPr>
  </w:style>
  <w:style w:type="paragraph" w:styleId="Heading4">
    <w:name w:val="heading 4"/>
    <w:basedOn w:val="Normal"/>
    <w:next w:val="Normal"/>
    <w:qFormat/>
    <w:rsid w:val="00FC3AFC"/>
    <w:pPr>
      <w:keepNext/>
      <w:widowControl w:val="0"/>
      <w:spacing w:before="240" w:after="180"/>
      <w:outlineLvl w:val="3"/>
    </w:pPr>
    <w:rPr>
      <w:bCs/>
      <w:color w:val="666699"/>
      <w:sz w:val="24"/>
      <w:szCs w:val="28"/>
    </w:rPr>
  </w:style>
  <w:style w:type="paragraph" w:styleId="Heading5">
    <w:name w:val="heading 5"/>
    <w:basedOn w:val="Normal"/>
    <w:next w:val="BodyText"/>
    <w:qFormat/>
    <w:rsid w:val="00C007EE"/>
    <w:pPr>
      <w:widowControl w:val="0"/>
      <w:spacing w:before="240" w:after="180"/>
      <w:outlineLvl w:val="4"/>
    </w:pPr>
    <w:rPr>
      <w:i/>
      <w:color w:val="666699"/>
      <w:sz w:val="24"/>
    </w:rPr>
  </w:style>
  <w:style w:type="paragraph" w:styleId="Heading6">
    <w:name w:val="heading 6"/>
    <w:basedOn w:val="Normal"/>
    <w:next w:val="BodyText"/>
    <w:qFormat/>
    <w:rsid w:val="007F75C3"/>
    <w:pPr>
      <w:widowControl w:val="0"/>
      <w:tabs>
        <w:tab w:val="left" w:pos="567"/>
      </w:tabs>
      <w:spacing w:before="240" w:after="180"/>
      <w:outlineLvl w:val="5"/>
    </w:pPr>
    <w:rPr>
      <w:b/>
      <w:color w:val="666699"/>
    </w:rPr>
  </w:style>
  <w:style w:type="paragraph" w:styleId="Heading7">
    <w:name w:val="heading 7"/>
    <w:basedOn w:val="Normal"/>
    <w:next w:val="BodyText"/>
    <w:qFormat/>
    <w:rsid w:val="007F75C3"/>
    <w:pPr>
      <w:widowControl w:val="0"/>
      <w:spacing w:before="240" w:after="180"/>
      <w:outlineLvl w:val="6"/>
    </w:pPr>
    <w:rPr>
      <w:color w:val="666699"/>
    </w:rPr>
  </w:style>
  <w:style w:type="paragraph" w:styleId="Heading8">
    <w:name w:val="heading 8"/>
    <w:basedOn w:val="Normal"/>
    <w:next w:val="Normal"/>
    <w:qFormat/>
    <w:rsid w:val="007F75C3"/>
    <w:pPr>
      <w:spacing w:before="240" w:after="180"/>
      <w:outlineLvl w:val="7"/>
    </w:pPr>
    <w:rPr>
      <w:i/>
      <w:iCs/>
      <w:color w:val="666699"/>
      <w:szCs w:val="28"/>
    </w:rPr>
  </w:style>
  <w:style w:type="paragraph" w:styleId="Heading9">
    <w:name w:val="heading 9"/>
    <w:basedOn w:val="Normal"/>
    <w:next w:val="BodyText"/>
    <w:qFormat/>
    <w:rsid w:val="007F75C3"/>
    <w:pPr>
      <w:keepNext/>
      <w:tabs>
        <w:tab w:val="left" w:pos="3261"/>
      </w:tabs>
      <w:spacing w:before="240" w:after="180"/>
      <w:outlineLvl w:val="8"/>
    </w:pPr>
    <w:rPr>
      <w:b/>
      <w:i/>
      <w:color w:val="6666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496A"/>
    <w:pPr>
      <w:widowControl w:val="0"/>
      <w:tabs>
        <w:tab w:val="left" w:pos="425"/>
      </w:tabs>
      <w:spacing w:after="180"/>
      <w:ind w:left="567"/>
      <w:jc w:val="both"/>
    </w:pPr>
  </w:style>
  <w:style w:type="character" w:customStyle="1" w:styleId="BodyTextChar">
    <w:name w:val="Body Text Char"/>
    <w:link w:val="BodyText"/>
    <w:rsid w:val="00D9496A"/>
    <w:rPr>
      <w:rFonts w:ascii="Arial" w:hAnsi="Arial"/>
      <w:szCs w:val="24"/>
    </w:rPr>
  </w:style>
  <w:style w:type="character" w:customStyle="1" w:styleId="Heading1Char">
    <w:name w:val="Heading 1 Char"/>
    <w:aliases w:val="Outline1 Char"/>
    <w:link w:val="Heading1"/>
    <w:locked/>
    <w:rsid w:val="007C2079"/>
    <w:rPr>
      <w:rFonts w:ascii="Arial" w:hAnsi="Arial"/>
      <w:b/>
      <w:bCs/>
      <w:color w:val="666699"/>
      <w:kern w:val="32"/>
      <w:sz w:val="32"/>
      <w:szCs w:val="32"/>
      <w:lang w:val="en-GB" w:eastAsia="en-GB" w:bidi="ar-SA"/>
    </w:rPr>
  </w:style>
  <w:style w:type="character" w:customStyle="1" w:styleId="Heading2Char">
    <w:name w:val="Heading 2 Char"/>
    <w:aliases w:val="Outline2 Char"/>
    <w:link w:val="Heading2"/>
    <w:locked/>
    <w:rsid w:val="007C2079"/>
    <w:rPr>
      <w:rFonts w:ascii="Arial" w:hAnsi="Arial" w:cs="Arial"/>
      <w:b/>
      <w:bCs/>
      <w:iCs/>
      <w:color w:val="666699"/>
      <w:sz w:val="24"/>
      <w:szCs w:val="28"/>
      <w:lang w:val="en-GB" w:eastAsia="en-GB" w:bidi="ar-SA"/>
    </w:rPr>
  </w:style>
  <w:style w:type="paragraph" w:styleId="Header">
    <w:name w:val="header"/>
    <w:basedOn w:val="Normal"/>
    <w:link w:val="HeaderChar"/>
    <w:rsid w:val="00C007EE"/>
    <w:pPr>
      <w:tabs>
        <w:tab w:val="center" w:pos="4153"/>
        <w:tab w:val="right" w:pos="8306"/>
      </w:tabs>
    </w:pPr>
  </w:style>
  <w:style w:type="character" w:customStyle="1" w:styleId="HeaderChar">
    <w:name w:val="Header Char"/>
    <w:link w:val="Header"/>
    <w:locked/>
    <w:rsid w:val="00C007EE"/>
    <w:rPr>
      <w:rFonts w:ascii="Arial" w:hAnsi="Arial"/>
      <w:szCs w:val="24"/>
      <w:lang w:val="en-GB" w:eastAsia="en-GB" w:bidi="ar-SA"/>
    </w:rPr>
  </w:style>
  <w:style w:type="paragraph" w:styleId="Footer">
    <w:name w:val="footer"/>
    <w:basedOn w:val="Normal"/>
    <w:link w:val="FooterChar"/>
    <w:uiPriority w:val="99"/>
    <w:rsid w:val="00C007EE"/>
    <w:pPr>
      <w:tabs>
        <w:tab w:val="center" w:pos="4153"/>
        <w:tab w:val="right" w:pos="8306"/>
      </w:tabs>
    </w:pPr>
    <w:rPr>
      <w:sz w:val="16"/>
    </w:rPr>
  </w:style>
  <w:style w:type="character" w:customStyle="1" w:styleId="FooterChar">
    <w:name w:val="Footer Char"/>
    <w:link w:val="Footer"/>
    <w:uiPriority w:val="99"/>
    <w:locked/>
    <w:rsid w:val="00C007EE"/>
    <w:rPr>
      <w:rFonts w:ascii="Arial" w:hAnsi="Arial"/>
      <w:sz w:val="16"/>
      <w:szCs w:val="24"/>
      <w:lang w:val="en-GB" w:eastAsia="en-GB" w:bidi="ar-SA"/>
    </w:rPr>
  </w:style>
  <w:style w:type="character" w:styleId="Hyperlink">
    <w:name w:val="Hyperlink"/>
    <w:uiPriority w:val="99"/>
    <w:rsid w:val="004A4C03"/>
    <w:rPr>
      <w:rFonts w:ascii="Arial" w:hAnsi="Arial"/>
      <w:dstrike w:val="0"/>
      <w:color w:val="333399"/>
      <w:u w:val="single"/>
      <w:vertAlign w:val="baseline"/>
    </w:rPr>
  </w:style>
  <w:style w:type="paragraph" w:styleId="z-TopofForm">
    <w:name w:val="HTML Top of Form"/>
    <w:basedOn w:val="Normal"/>
    <w:next w:val="Normal"/>
    <w:hidden/>
    <w:rsid w:val="00C91E49"/>
    <w:pPr>
      <w:pBdr>
        <w:bottom w:val="single" w:sz="6" w:space="1" w:color="auto"/>
      </w:pBdr>
      <w:jc w:val="center"/>
    </w:pPr>
    <w:rPr>
      <w:rFonts w:cs="Arial"/>
      <w:vanish/>
      <w:sz w:val="16"/>
      <w:szCs w:val="16"/>
    </w:rPr>
  </w:style>
  <w:style w:type="paragraph" w:styleId="z-BottomofForm">
    <w:name w:val="HTML Bottom of Form"/>
    <w:basedOn w:val="Normal"/>
    <w:next w:val="Normal"/>
    <w:hidden/>
    <w:rsid w:val="00C91E49"/>
    <w:pPr>
      <w:pBdr>
        <w:top w:val="single" w:sz="6" w:space="1" w:color="auto"/>
      </w:pBdr>
      <w:jc w:val="center"/>
    </w:pPr>
    <w:rPr>
      <w:rFonts w:cs="Arial"/>
      <w:vanish/>
      <w:sz w:val="16"/>
      <w:szCs w:val="16"/>
    </w:rPr>
  </w:style>
  <w:style w:type="character" w:styleId="CommentReference">
    <w:name w:val="annotation reference"/>
    <w:semiHidden/>
    <w:rsid w:val="00C007EE"/>
    <w:rPr>
      <w:sz w:val="16"/>
      <w:szCs w:val="16"/>
    </w:rPr>
  </w:style>
  <w:style w:type="paragraph" w:styleId="CommentText">
    <w:name w:val="annotation text"/>
    <w:basedOn w:val="Normal"/>
    <w:semiHidden/>
    <w:rsid w:val="00C007EE"/>
    <w:rPr>
      <w:szCs w:val="20"/>
    </w:rPr>
  </w:style>
  <w:style w:type="paragraph" w:styleId="CommentSubject">
    <w:name w:val="annotation subject"/>
    <w:basedOn w:val="CommentText"/>
    <w:next w:val="CommentText"/>
    <w:semiHidden/>
    <w:rsid w:val="00C007EE"/>
    <w:rPr>
      <w:b/>
      <w:bCs/>
    </w:rPr>
  </w:style>
  <w:style w:type="paragraph" w:styleId="BalloonText">
    <w:name w:val="Balloon Text"/>
    <w:basedOn w:val="Normal"/>
    <w:link w:val="BalloonTextChar"/>
    <w:semiHidden/>
    <w:rsid w:val="00C007EE"/>
    <w:rPr>
      <w:rFonts w:ascii="Tahoma" w:hAnsi="Tahoma" w:cs="Tahoma"/>
      <w:sz w:val="16"/>
      <w:szCs w:val="16"/>
      <w:lang w:eastAsia="en-US"/>
    </w:rPr>
  </w:style>
  <w:style w:type="character" w:customStyle="1" w:styleId="BalloonTextChar">
    <w:name w:val="Balloon Text Char"/>
    <w:link w:val="BalloonText"/>
    <w:semiHidden/>
    <w:locked/>
    <w:rsid w:val="00C007EE"/>
    <w:rPr>
      <w:rFonts w:ascii="Tahoma" w:hAnsi="Tahoma" w:cs="Tahoma"/>
      <w:sz w:val="16"/>
      <w:szCs w:val="16"/>
      <w:lang w:val="en-GB" w:eastAsia="en-US" w:bidi="ar-SA"/>
    </w:rPr>
  </w:style>
  <w:style w:type="paragraph" w:styleId="FootnoteText">
    <w:name w:val="footnote text"/>
    <w:basedOn w:val="Normal"/>
    <w:semiHidden/>
    <w:rsid w:val="00C007EE"/>
    <w:rPr>
      <w:szCs w:val="20"/>
    </w:rPr>
  </w:style>
  <w:style w:type="character" w:styleId="FootnoteReference">
    <w:name w:val="footnote reference"/>
    <w:uiPriority w:val="99"/>
    <w:semiHidden/>
    <w:rsid w:val="00C007EE"/>
    <w:rPr>
      <w:vertAlign w:val="superscript"/>
    </w:rPr>
  </w:style>
  <w:style w:type="character" w:styleId="FollowedHyperlink">
    <w:name w:val="FollowedHyperlink"/>
    <w:uiPriority w:val="99"/>
    <w:rsid w:val="004A4C03"/>
    <w:rPr>
      <w:rFonts w:ascii="Arial" w:hAnsi="Arial"/>
      <w:color w:val="606420"/>
      <w:u w:val="single"/>
    </w:rPr>
  </w:style>
  <w:style w:type="paragraph" w:styleId="TOC3">
    <w:name w:val="toc 3"/>
    <w:basedOn w:val="Normal"/>
    <w:next w:val="Normal"/>
    <w:autoRedefine/>
    <w:uiPriority w:val="39"/>
    <w:rsid w:val="006221F1"/>
    <w:pPr>
      <w:tabs>
        <w:tab w:val="right" w:leader="dot" w:pos="9016"/>
      </w:tabs>
      <w:ind w:left="403"/>
      <w:contextualSpacing/>
    </w:pPr>
    <w:rPr>
      <w:rFonts w:ascii="Times New Roman" w:hAnsi="Times New Roman"/>
      <w:szCs w:val="20"/>
    </w:rPr>
  </w:style>
  <w:style w:type="paragraph" w:customStyle="1" w:styleId="BodyTextnumberred">
    <w:name w:val="Body Text (numberred)"/>
    <w:basedOn w:val="BodyText"/>
    <w:rsid w:val="00410AFC"/>
    <w:pPr>
      <w:numPr>
        <w:numId w:val="3"/>
      </w:numPr>
      <w:tabs>
        <w:tab w:val="clear" w:pos="425"/>
      </w:tabs>
      <w:spacing w:after="60"/>
      <w:ind w:left="924" w:hanging="357"/>
    </w:pPr>
  </w:style>
  <w:style w:type="paragraph" w:styleId="TOC2">
    <w:name w:val="toc 2"/>
    <w:basedOn w:val="Normal"/>
    <w:next w:val="Normal"/>
    <w:autoRedefine/>
    <w:uiPriority w:val="39"/>
    <w:rsid w:val="006221F1"/>
    <w:pPr>
      <w:tabs>
        <w:tab w:val="right" w:leader="dot" w:pos="9016"/>
      </w:tabs>
      <w:spacing w:before="60"/>
      <w:ind w:left="198"/>
    </w:pPr>
    <w:rPr>
      <w:rFonts w:ascii="Times New Roman" w:hAnsi="Times New Roman"/>
      <w:i/>
      <w:iCs/>
      <w:szCs w:val="20"/>
    </w:rPr>
  </w:style>
  <w:style w:type="paragraph" w:styleId="TOC4">
    <w:name w:val="toc 4"/>
    <w:basedOn w:val="Normal"/>
    <w:next w:val="Normal"/>
    <w:autoRedefine/>
    <w:semiHidden/>
    <w:rsid w:val="00AE2BEB"/>
    <w:pPr>
      <w:ind w:left="600"/>
    </w:pPr>
    <w:rPr>
      <w:rFonts w:ascii="Times New Roman" w:hAnsi="Times New Roman"/>
      <w:szCs w:val="20"/>
    </w:rPr>
  </w:style>
  <w:style w:type="paragraph" w:customStyle="1" w:styleId="TableChartFootnote">
    <w:name w:val="Table/Chart Footnote"/>
    <w:basedOn w:val="Normal"/>
    <w:next w:val="BodyText"/>
    <w:rsid w:val="006422B5"/>
    <w:pPr>
      <w:tabs>
        <w:tab w:val="left" w:pos="567"/>
      </w:tabs>
      <w:spacing w:after="480"/>
      <w:ind w:left="567" w:hanging="567"/>
    </w:pPr>
    <w:rPr>
      <w:sz w:val="18"/>
    </w:rPr>
  </w:style>
  <w:style w:type="paragraph" w:customStyle="1" w:styleId="TableChartTitle">
    <w:name w:val="Table/Chart Title"/>
    <w:basedOn w:val="Normal"/>
    <w:next w:val="Normal"/>
    <w:rsid w:val="00FC3AFC"/>
    <w:pPr>
      <w:tabs>
        <w:tab w:val="right" w:pos="9015"/>
      </w:tabs>
      <w:spacing w:before="480" w:after="60"/>
    </w:pPr>
    <w:rPr>
      <w:color w:val="666699"/>
      <w:sz w:val="24"/>
    </w:rPr>
  </w:style>
  <w:style w:type="paragraph" w:styleId="Title">
    <w:name w:val="Title"/>
    <w:basedOn w:val="Normal"/>
    <w:next w:val="Normal"/>
    <w:link w:val="TitleChar"/>
    <w:qFormat/>
    <w:rsid w:val="00AE2BEB"/>
    <w:pPr>
      <w:pBdr>
        <w:bottom w:val="single" w:sz="8" w:space="4" w:color="4F81BD"/>
      </w:pBdr>
      <w:spacing w:after="480"/>
      <w:contextualSpacing/>
    </w:pPr>
    <w:rPr>
      <w:rFonts w:eastAsia="Arial"/>
      <w:color w:val="17365D"/>
      <w:spacing w:val="5"/>
      <w:kern w:val="28"/>
      <w:sz w:val="36"/>
      <w:szCs w:val="52"/>
      <w:lang w:eastAsia="en-US"/>
    </w:rPr>
  </w:style>
  <w:style w:type="character" w:customStyle="1" w:styleId="TitleChar">
    <w:name w:val="Title Char"/>
    <w:link w:val="Title"/>
    <w:locked/>
    <w:rsid w:val="00AE2BEB"/>
    <w:rPr>
      <w:rFonts w:ascii="Arial" w:eastAsia="Arial" w:hAnsi="Arial"/>
      <w:color w:val="17365D"/>
      <w:spacing w:val="5"/>
      <w:kern w:val="28"/>
      <w:sz w:val="36"/>
      <w:szCs w:val="52"/>
      <w:lang w:val="en-GB" w:eastAsia="en-US" w:bidi="ar-SA"/>
    </w:rPr>
  </w:style>
  <w:style w:type="paragraph" w:customStyle="1" w:styleId="BodyTextBulletted">
    <w:name w:val="Body Text (Bulletted)"/>
    <w:basedOn w:val="BodyText"/>
    <w:link w:val="BodyTextBullettedChar"/>
    <w:rsid w:val="00C007EE"/>
    <w:pPr>
      <w:numPr>
        <w:numId w:val="2"/>
      </w:numPr>
      <w:tabs>
        <w:tab w:val="clear" w:pos="425"/>
      </w:tabs>
      <w:spacing w:after="60"/>
    </w:pPr>
  </w:style>
  <w:style w:type="character" w:customStyle="1" w:styleId="BodyTextBullettedChar">
    <w:name w:val="Body Text (Bulletted) Char"/>
    <w:basedOn w:val="BodyTextChar"/>
    <w:link w:val="BodyTextBulletted"/>
    <w:rsid w:val="00C007EE"/>
    <w:rPr>
      <w:rFonts w:ascii="Arial" w:hAnsi="Arial"/>
      <w:sz w:val="22"/>
      <w:szCs w:val="24"/>
      <w:lang w:val="en-GB" w:eastAsia="en-GB" w:bidi="ar-SA"/>
    </w:rPr>
  </w:style>
  <w:style w:type="paragraph" w:styleId="Index2">
    <w:name w:val="index 2"/>
    <w:basedOn w:val="Normal"/>
    <w:next w:val="Normal"/>
    <w:autoRedefine/>
    <w:semiHidden/>
    <w:rsid w:val="00C007EE"/>
    <w:pPr>
      <w:ind w:left="400" w:hanging="200"/>
    </w:pPr>
  </w:style>
  <w:style w:type="paragraph" w:styleId="TOC1">
    <w:name w:val="toc 1"/>
    <w:basedOn w:val="Normal"/>
    <w:next w:val="Normal"/>
    <w:autoRedefine/>
    <w:uiPriority w:val="39"/>
    <w:rsid w:val="006221F1"/>
    <w:pPr>
      <w:tabs>
        <w:tab w:val="right" w:leader="dot" w:pos="9016"/>
      </w:tabs>
      <w:spacing w:before="60" w:after="60"/>
    </w:pPr>
    <w:rPr>
      <w:rFonts w:ascii="Times New Roman" w:hAnsi="Times New Roman"/>
      <w:b/>
      <w:bCs/>
      <w:szCs w:val="20"/>
    </w:rPr>
  </w:style>
  <w:style w:type="character" w:styleId="PageNumber">
    <w:name w:val="page number"/>
    <w:basedOn w:val="DefaultParagraphFont"/>
    <w:rsid w:val="00FB097D"/>
  </w:style>
  <w:style w:type="paragraph" w:styleId="TOC5">
    <w:name w:val="toc 5"/>
    <w:basedOn w:val="Normal"/>
    <w:next w:val="Normal"/>
    <w:autoRedefine/>
    <w:semiHidden/>
    <w:rsid w:val="00F172DA"/>
    <w:pPr>
      <w:ind w:left="800"/>
    </w:pPr>
    <w:rPr>
      <w:rFonts w:ascii="Times New Roman" w:hAnsi="Times New Roman"/>
      <w:szCs w:val="20"/>
    </w:rPr>
  </w:style>
  <w:style w:type="paragraph" w:styleId="TOC6">
    <w:name w:val="toc 6"/>
    <w:basedOn w:val="Normal"/>
    <w:next w:val="Normal"/>
    <w:autoRedefine/>
    <w:semiHidden/>
    <w:rsid w:val="00F172DA"/>
    <w:pPr>
      <w:ind w:left="1000"/>
    </w:pPr>
    <w:rPr>
      <w:rFonts w:ascii="Times New Roman" w:hAnsi="Times New Roman"/>
      <w:szCs w:val="20"/>
    </w:rPr>
  </w:style>
  <w:style w:type="paragraph" w:styleId="TOC7">
    <w:name w:val="toc 7"/>
    <w:basedOn w:val="Normal"/>
    <w:next w:val="Normal"/>
    <w:autoRedefine/>
    <w:semiHidden/>
    <w:rsid w:val="00F172DA"/>
    <w:pPr>
      <w:ind w:left="1200"/>
    </w:pPr>
    <w:rPr>
      <w:rFonts w:ascii="Times New Roman" w:hAnsi="Times New Roman"/>
      <w:szCs w:val="20"/>
    </w:rPr>
  </w:style>
  <w:style w:type="paragraph" w:styleId="TOC8">
    <w:name w:val="toc 8"/>
    <w:basedOn w:val="Normal"/>
    <w:next w:val="Normal"/>
    <w:autoRedefine/>
    <w:semiHidden/>
    <w:rsid w:val="00F172DA"/>
    <w:pPr>
      <w:ind w:left="1400"/>
    </w:pPr>
    <w:rPr>
      <w:rFonts w:ascii="Times New Roman" w:hAnsi="Times New Roman"/>
      <w:szCs w:val="20"/>
    </w:rPr>
  </w:style>
  <w:style w:type="paragraph" w:styleId="TOC9">
    <w:name w:val="toc 9"/>
    <w:basedOn w:val="Normal"/>
    <w:next w:val="Normal"/>
    <w:autoRedefine/>
    <w:semiHidden/>
    <w:rsid w:val="00F172DA"/>
    <w:pPr>
      <w:ind w:left="1600"/>
    </w:pPr>
    <w:rPr>
      <w:rFonts w:ascii="Times New Roman" w:hAnsi="Times New Roman"/>
      <w:szCs w:val="20"/>
    </w:rPr>
  </w:style>
  <w:style w:type="table" w:styleId="TableGrid">
    <w:name w:val="Table Grid"/>
    <w:basedOn w:val="TableNormal"/>
    <w:rsid w:val="000E3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E1D8A"/>
    <w:rPr>
      <w:rFonts w:ascii="Arial" w:hAnsi="Arial"/>
      <w:szCs w:val="24"/>
    </w:rPr>
  </w:style>
  <w:style w:type="numbering" w:customStyle="1" w:styleId="NoList1">
    <w:name w:val="No List1"/>
    <w:next w:val="NoList"/>
    <w:uiPriority w:val="99"/>
    <w:semiHidden/>
    <w:unhideWhenUsed/>
    <w:rsid w:val="00F878CD"/>
  </w:style>
  <w:style w:type="paragraph" w:customStyle="1" w:styleId="Bulletted">
    <w:name w:val="Bulletted"/>
    <w:basedOn w:val="Normal"/>
    <w:next w:val="Normal"/>
    <w:rsid w:val="00F878CD"/>
    <w:pPr>
      <w:numPr>
        <w:numId w:val="5"/>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sz w:val="24"/>
      <w:szCs w:val="20"/>
      <w:lang w:eastAsia="en-US"/>
    </w:rPr>
  </w:style>
  <w:style w:type="paragraph" w:customStyle="1" w:styleId="Outline4">
    <w:name w:val="Outline4"/>
    <w:basedOn w:val="Normal"/>
    <w:next w:val="Normal"/>
    <w:rsid w:val="00F878CD"/>
    <w:pPr>
      <w:tabs>
        <w:tab w:val="left" w:pos="720"/>
        <w:tab w:val="left" w:pos="1440"/>
        <w:tab w:val="left" w:pos="2160"/>
        <w:tab w:val="left" w:pos="2880"/>
        <w:tab w:val="left" w:pos="4680"/>
        <w:tab w:val="left" w:pos="5400"/>
        <w:tab w:val="right" w:pos="9000"/>
      </w:tabs>
      <w:spacing w:line="240" w:lineRule="atLeast"/>
      <w:ind w:left="2160"/>
      <w:jc w:val="both"/>
    </w:pPr>
    <w:rPr>
      <w:kern w:val="24"/>
      <w:sz w:val="24"/>
      <w:szCs w:val="20"/>
      <w:lang w:eastAsia="en-US"/>
    </w:rPr>
  </w:style>
  <w:style w:type="paragraph" w:customStyle="1" w:styleId="Outline5">
    <w:name w:val="Outline5"/>
    <w:basedOn w:val="Normal"/>
    <w:next w:val="Normal"/>
    <w:rsid w:val="00F878CD"/>
    <w:pPr>
      <w:tabs>
        <w:tab w:val="left" w:pos="720"/>
        <w:tab w:val="left" w:pos="1440"/>
        <w:tab w:val="left" w:pos="2160"/>
        <w:tab w:val="left" w:pos="2880"/>
        <w:tab w:val="left" w:pos="4680"/>
        <w:tab w:val="left" w:pos="5400"/>
        <w:tab w:val="right" w:pos="9000"/>
      </w:tabs>
      <w:spacing w:line="240" w:lineRule="atLeast"/>
      <w:ind w:left="720"/>
      <w:jc w:val="both"/>
    </w:pPr>
    <w:rPr>
      <w:kern w:val="24"/>
      <w:sz w:val="24"/>
      <w:szCs w:val="20"/>
      <w:lang w:eastAsia="en-US"/>
    </w:rPr>
  </w:style>
  <w:style w:type="paragraph" w:customStyle="1" w:styleId="Outline6">
    <w:name w:val="Outline6"/>
    <w:basedOn w:val="Normal"/>
    <w:next w:val="Normal"/>
    <w:rsid w:val="00F878CD"/>
    <w:pPr>
      <w:tabs>
        <w:tab w:val="left" w:pos="720"/>
        <w:tab w:val="left" w:pos="1440"/>
        <w:tab w:val="left" w:pos="2160"/>
        <w:tab w:val="left" w:pos="2880"/>
        <w:tab w:val="left" w:pos="4680"/>
        <w:tab w:val="left" w:pos="5400"/>
        <w:tab w:val="right" w:pos="9000"/>
      </w:tabs>
      <w:spacing w:after="240" w:line="240" w:lineRule="atLeast"/>
      <w:ind w:left="2160"/>
      <w:jc w:val="both"/>
    </w:pPr>
    <w:rPr>
      <w:kern w:val="24"/>
      <w:sz w:val="24"/>
      <w:szCs w:val="20"/>
      <w:lang w:eastAsia="en-US"/>
    </w:rPr>
  </w:style>
  <w:style w:type="paragraph" w:customStyle="1" w:styleId="Outline7">
    <w:name w:val="Outline7"/>
    <w:basedOn w:val="Normal"/>
    <w:next w:val="Normal"/>
    <w:rsid w:val="00F878CD"/>
    <w:pPr>
      <w:tabs>
        <w:tab w:val="left" w:pos="720"/>
        <w:tab w:val="left" w:pos="1440"/>
        <w:tab w:val="left" w:pos="2160"/>
        <w:tab w:val="left" w:pos="2880"/>
        <w:tab w:val="left" w:pos="4680"/>
        <w:tab w:val="left" w:pos="5400"/>
        <w:tab w:val="right" w:pos="9000"/>
      </w:tabs>
      <w:spacing w:after="240" w:line="240" w:lineRule="atLeast"/>
      <w:ind w:left="720"/>
      <w:jc w:val="both"/>
    </w:pPr>
    <w:rPr>
      <w:kern w:val="24"/>
      <w:sz w:val="24"/>
      <w:szCs w:val="20"/>
      <w:lang w:eastAsia="en-US"/>
    </w:rPr>
  </w:style>
  <w:style w:type="paragraph" w:customStyle="1" w:styleId="xl65">
    <w:name w:val="xl65"/>
    <w:basedOn w:val="Normal"/>
    <w:rsid w:val="00F878CD"/>
    <w:pPr>
      <w:shd w:val="clear" w:color="000000" w:fill="FFFFFF"/>
      <w:spacing w:before="100" w:beforeAutospacing="1" w:after="100" w:afterAutospacing="1"/>
    </w:pPr>
    <w:rPr>
      <w:rFonts w:ascii="Times New Roman" w:hAnsi="Times New Roman"/>
      <w:b/>
      <w:bCs/>
      <w:sz w:val="24"/>
    </w:rPr>
  </w:style>
  <w:style w:type="paragraph" w:customStyle="1" w:styleId="xl66">
    <w:name w:val="xl66"/>
    <w:basedOn w:val="Normal"/>
    <w:rsid w:val="00F878CD"/>
    <w:pPr>
      <w:pBdr>
        <w:top w:val="single" w:sz="8" w:space="0" w:color="auto"/>
        <w:bottom w:val="single" w:sz="8" w:space="0" w:color="auto"/>
      </w:pBdr>
      <w:shd w:val="clear" w:color="000000" w:fill="FFFFFF"/>
      <w:spacing w:before="100" w:beforeAutospacing="1" w:after="100" w:afterAutospacing="1"/>
    </w:pPr>
    <w:rPr>
      <w:rFonts w:ascii="Times New Roman" w:hAnsi="Times New Roman"/>
      <w:b/>
      <w:bCs/>
      <w:sz w:val="24"/>
    </w:rPr>
  </w:style>
  <w:style w:type="paragraph" w:customStyle="1" w:styleId="xl67">
    <w:name w:val="xl67"/>
    <w:basedOn w:val="Normal"/>
    <w:rsid w:val="00F878CD"/>
    <w:pPr>
      <w:pBdr>
        <w:top w:val="single" w:sz="8" w:space="0" w:color="auto"/>
        <w:bottom w:val="single" w:sz="8" w:space="0" w:color="auto"/>
      </w:pBdr>
      <w:shd w:val="clear" w:color="000000" w:fill="FFFFFF"/>
      <w:spacing w:before="100" w:beforeAutospacing="1" w:after="100" w:afterAutospacing="1"/>
    </w:pPr>
    <w:rPr>
      <w:rFonts w:ascii="Times New Roman" w:hAnsi="Times New Roman"/>
      <w:b/>
      <w:bCs/>
      <w:sz w:val="24"/>
    </w:rPr>
  </w:style>
  <w:style w:type="paragraph" w:customStyle="1" w:styleId="xl68">
    <w:name w:val="xl68"/>
    <w:basedOn w:val="Normal"/>
    <w:rsid w:val="00F878CD"/>
    <w:pPr>
      <w:pBdr>
        <w:top w:val="single" w:sz="8" w:space="0" w:color="auto"/>
        <w:bottom w:val="single" w:sz="8" w:space="0" w:color="auto"/>
      </w:pBdr>
      <w:shd w:val="clear" w:color="000000" w:fill="FFFFFF"/>
      <w:spacing w:before="100" w:beforeAutospacing="1" w:after="100" w:afterAutospacing="1"/>
    </w:pPr>
    <w:rPr>
      <w:rFonts w:ascii="Times New Roman" w:hAnsi="Times New Roman"/>
      <w:b/>
      <w:bCs/>
      <w:sz w:val="24"/>
    </w:rPr>
  </w:style>
  <w:style w:type="paragraph" w:customStyle="1" w:styleId="xl69">
    <w:name w:val="xl69"/>
    <w:basedOn w:val="Normal"/>
    <w:rsid w:val="00F878CD"/>
    <w:pPr>
      <w:shd w:val="clear" w:color="000000" w:fill="FFFFFF"/>
      <w:spacing w:before="100" w:beforeAutospacing="1" w:after="100" w:afterAutospacing="1"/>
    </w:pPr>
    <w:rPr>
      <w:rFonts w:ascii="Times New Roman" w:hAnsi="Times New Roman"/>
      <w:b/>
      <w:bCs/>
      <w:sz w:val="24"/>
    </w:rPr>
  </w:style>
  <w:style w:type="paragraph" w:customStyle="1" w:styleId="xl70">
    <w:name w:val="xl70"/>
    <w:basedOn w:val="Normal"/>
    <w:rsid w:val="00F878CD"/>
    <w:pPr>
      <w:shd w:val="clear" w:color="000000" w:fill="FFFFFF"/>
      <w:spacing w:before="100" w:beforeAutospacing="1" w:after="100" w:afterAutospacing="1"/>
    </w:pPr>
    <w:rPr>
      <w:rFonts w:ascii="Times New Roman" w:hAnsi="Times New Roman"/>
      <w:sz w:val="24"/>
    </w:rPr>
  </w:style>
  <w:style w:type="paragraph" w:customStyle="1" w:styleId="xl71">
    <w:name w:val="xl71"/>
    <w:basedOn w:val="Normal"/>
    <w:rsid w:val="00F878CD"/>
    <w:pPr>
      <w:pBdr>
        <w:bottom w:val="single" w:sz="4" w:space="0" w:color="auto"/>
      </w:pBdr>
      <w:shd w:val="clear" w:color="000000" w:fill="FFFFFF"/>
      <w:spacing w:before="100" w:beforeAutospacing="1" w:after="100" w:afterAutospacing="1"/>
    </w:pPr>
    <w:rPr>
      <w:rFonts w:ascii="Times New Roman" w:hAnsi="Times New Roman"/>
      <w:b/>
      <w:bCs/>
      <w:sz w:val="24"/>
    </w:rPr>
  </w:style>
  <w:style w:type="paragraph" w:customStyle="1" w:styleId="xl72">
    <w:name w:val="xl72"/>
    <w:basedOn w:val="Normal"/>
    <w:rsid w:val="00F878CD"/>
    <w:pPr>
      <w:pBdr>
        <w:bottom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73">
    <w:name w:val="xl73"/>
    <w:basedOn w:val="Normal"/>
    <w:rsid w:val="00F878CD"/>
    <w:pPr>
      <w:pBdr>
        <w:bottom w:val="single" w:sz="4" w:space="0" w:color="auto"/>
      </w:pBdr>
      <w:shd w:val="clear" w:color="000000" w:fill="FFFFFF"/>
      <w:spacing w:before="100" w:beforeAutospacing="1" w:after="100" w:afterAutospacing="1"/>
    </w:pPr>
    <w:rPr>
      <w:rFonts w:ascii="Times New Roman" w:hAnsi="Times New Roman"/>
      <w:b/>
      <w:bCs/>
      <w:sz w:val="24"/>
    </w:rPr>
  </w:style>
  <w:style w:type="paragraph" w:customStyle="1" w:styleId="xl74">
    <w:name w:val="xl74"/>
    <w:basedOn w:val="Normal"/>
    <w:rsid w:val="00F878CD"/>
    <w:pPr>
      <w:pBdr>
        <w:bottom w:val="single" w:sz="8" w:space="0" w:color="auto"/>
      </w:pBdr>
      <w:shd w:val="clear" w:color="000000" w:fill="FFFFFF"/>
      <w:spacing w:before="100" w:beforeAutospacing="1" w:after="100" w:afterAutospacing="1"/>
    </w:pPr>
    <w:rPr>
      <w:rFonts w:ascii="Times New Roman" w:hAnsi="Times New Roman"/>
      <w:b/>
      <w:bCs/>
      <w:sz w:val="24"/>
    </w:rPr>
  </w:style>
  <w:style w:type="paragraph" w:customStyle="1" w:styleId="xl75">
    <w:name w:val="xl75"/>
    <w:basedOn w:val="Normal"/>
    <w:rsid w:val="00F878CD"/>
    <w:pPr>
      <w:pBdr>
        <w:bottom w:val="single" w:sz="8" w:space="0" w:color="auto"/>
      </w:pBdr>
      <w:shd w:val="clear" w:color="000000" w:fill="FFFFFF"/>
      <w:spacing w:before="100" w:beforeAutospacing="1" w:after="100" w:afterAutospacing="1"/>
    </w:pPr>
    <w:rPr>
      <w:rFonts w:ascii="Times New Roman" w:hAnsi="Times New Roman"/>
      <w:sz w:val="24"/>
    </w:rPr>
  </w:style>
  <w:style w:type="paragraph" w:customStyle="1" w:styleId="xl76">
    <w:name w:val="xl76"/>
    <w:basedOn w:val="Normal"/>
    <w:rsid w:val="00F878CD"/>
    <w:pPr>
      <w:spacing w:before="100" w:beforeAutospacing="1" w:after="100" w:afterAutospacing="1"/>
    </w:pPr>
    <w:rPr>
      <w:rFonts w:ascii="Times New Roman" w:hAnsi="Times New Roman"/>
      <w:b/>
      <w:bCs/>
      <w:sz w:val="24"/>
    </w:rPr>
  </w:style>
  <w:style w:type="paragraph" w:styleId="EndnoteText">
    <w:name w:val="endnote text"/>
    <w:basedOn w:val="Normal"/>
    <w:link w:val="EndnoteTextChar"/>
    <w:rsid w:val="00E636B1"/>
    <w:rPr>
      <w:szCs w:val="20"/>
    </w:rPr>
  </w:style>
  <w:style w:type="character" w:customStyle="1" w:styleId="EndnoteTextChar">
    <w:name w:val="Endnote Text Char"/>
    <w:basedOn w:val="DefaultParagraphFont"/>
    <w:link w:val="EndnoteText"/>
    <w:rsid w:val="00E636B1"/>
    <w:rPr>
      <w:rFonts w:ascii="Arial" w:hAnsi="Arial"/>
    </w:rPr>
  </w:style>
  <w:style w:type="character" w:styleId="EndnoteReference">
    <w:name w:val="endnote reference"/>
    <w:basedOn w:val="DefaultParagraphFont"/>
    <w:rsid w:val="0071658C"/>
    <w:rPr>
      <w:vertAlign w:val="superscript"/>
    </w:rPr>
  </w:style>
  <w:style w:type="numbering" w:customStyle="1" w:styleId="NoList2">
    <w:name w:val="No List2"/>
    <w:next w:val="NoList"/>
    <w:uiPriority w:val="99"/>
    <w:semiHidden/>
    <w:unhideWhenUsed/>
    <w:rsid w:val="00C77BF9"/>
  </w:style>
  <w:style w:type="paragraph" w:customStyle="1" w:styleId="xl77">
    <w:name w:val="xl77"/>
    <w:basedOn w:val="Normal"/>
    <w:rsid w:val="00C77BF9"/>
    <w:pPr>
      <w:pBdr>
        <w:bottom w:val="single" w:sz="8" w:space="0" w:color="auto"/>
      </w:pBdr>
      <w:shd w:val="clear" w:color="000000" w:fill="FFFFFF"/>
      <w:spacing w:before="100" w:beforeAutospacing="1" w:after="100" w:afterAutospacing="1"/>
    </w:pPr>
    <w:rPr>
      <w:rFonts w:ascii="Times New Roman" w:hAnsi="Times New Roman"/>
      <w:b/>
      <w:bCs/>
      <w:sz w:val="24"/>
    </w:rPr>
  </w:style>
  <w:style w:type="paragraph" w:customStyle="1" w:styleId="xl78">
    <w:name w:val="xl78"/>
    <w:basedOn w:val="Normal"/>
    <w:rsid w:val="00C77BF9"/>
    <w:pPr>
      <w:pBdr>
        <w:bottom w:val="single" w:sz="8" w:space="0" w:color="auto"/>
      </w:pBdr>
      <w:shd w:val="clear" w:color="000000" w:fill="FFFFFF"/>
      <w:spacing w:before="100" w:beforeAutospacing="1" w:after="100" w:afterAutospacing="1"/>
    </w:pPr>
    <w:rPr>
      <w:rFonts w:ascii="Times New Roman" w:hAnsi="Times New Roman"/>
      <w:sz w:val="24"/>
    </w:rPr>
  </w:style>
  <w:style w:type="paragraph" w:customStyle="1" w:styleId="xl79">
    <w:name w:val="xl79"/>
    <w:basedOn w:val="Normal"/>
    <w:rsid w:val="00C77BF9"/>
    <w:pPr>
      <w:pBdr>
        <w:bottom w:val="single" w:sz="8" w:space="0" w:color="auto"/>
      </w:pBdr>
      <w:shd w:val="clear" w:color="000000" w:fill="FFFFFF"/>
      <w:spacing w:before="100" w:beforeAutospacing="1" w:after="100" w:afterAutospacing="1"/>
    </w:pPr>
    <w:rPr>
      <w:rFonts w:ascii="Times New Roman" w:hAnsi="Times New Roman"/>
      <w:sz w:val="24"/>
    </w:rPr>
  </w:style>
  <w:style w:type="paragraph" w:customStyle="1" w:styleId="xl80">
    <w:name w:val="xl80"/>
    <w:basedOn w:val="Normal"/>
    <w:rsid w:val="00C77BF9"/>
    <w:pPr>
      <w:spacing w:before="100" w:beforeAutospacing="1" w:after="100" w:afterAutospacing="1"/>
    </w:pPr>
    <w:rPr>
      <w:rFonts w:ascii="Times New Roman" w:hAnsi="Times New Roman"/>
      <w:b/>
      <w:bCs/>
      <w:sz w:val="24"/>
    </w:rPr>
  </w:style>
  <w:style w:type="paragraph" w:customStyle="1" w:styleId="xl81">
    <w:name w:val="xl81"/>
    <w:basedOn w:val="Normal"/>
    <w:rsid w:val="00C77BF9"/>
    <w:pPr>
      <w:pBdr>
        <w:top w:val="single" w:sz="8" w:space="0" w:color="auto"/>
        <w:bottom w:val="single" w:sz="8" w:space="0" w:color="auto"/>
      </w:pBdr>
      <w:shd w:val="clear" w:color="000000" w:fill="FFFFFF"/>
      <w:spacing w:before="100" w:beforeAutospacing="1" w:after="100" w:afterAutospacing="1"/>
    </w:pPr>
    <w:rPr>
      <w:rFonts w:ascii="Times New Roman" w:hAnsi="Times New Roman"/>
      <w:b/>
      <w:bCs/>
      <w:sz w:val="24"/>
    </w:rPr>
  </w:style>
  <w:style w:type="character" w:styleId="PlaceholderText">
    <w:name w:val="Placeholder Text"/>
    <w:basedOn w:val="DefaultParagraphFont"/>
    <w:uiPriority w:val="99"/>
    <w:semiHidden/>
    <w:rsid w:val="00476778"/>
    <w:rPr>
      <w:color w:val="808080"/>
    </w:rPr>
  </w:style>
  <w:style w:type="paragraph" w:customStyle="1" w:styleId="xl82">
    <w:name w:val="xl82"/>
    <w:basedOn w:val="Normal"/>
    <w:rsid w:val="0046035A"/>
    <w:pPr>
      <w:pBdr>
        <w:bottom w:val="single" w:sz="4" w:space="0" w:color="auto"/>
      </w:pBdr>
      <w:shd w:val="clear" w:color="000000" w:fill="FFFFFF"/>
      <w:spacing w:before="100" w:beforeAutospacing="1" w:after="100" w:afterAutospacing="1"/>
      <w:textAlignment w:val="top"/>
    </w:pPr>
    <w:rPr>
      <w:rFonts w:ascii="Times New Roman" w:hAnsi="Times New Roman"/>
      <w:b/>
      <w:bCs/>
      <w:sz w:val="24"/>
    </w:rPr>
  </w:style>
  <w:style w:type="paragraph" w:customStyle="1" w:styleId="xl83">
    <w:name w:val="xl83"/>
    <w:basedOn w:val="Normal"/>
    <w:rsid w:val="0046035A"/>
    <w:pPr>
      <w:pBdr>
        <w:bottom w:val="single" w:sz="8" w:space="0" w:color="auto"/>
      </w:pBdr>
      <w:shd w:val="clear" w:color="000000" w:fill="FFFFFF"/>
      <w:spacing w:before="100" w:beforeAutospacing="1" w:after="100" w:afterAutospacing="1"/>
      <w:textAlignment w:val="top"/>
    </w:pPr>
    <w:rPr>
      <w:rFonts w:ascii="Times New Roman" w:hAnsi="Times New Roman"/>
      <w:b/>
      <w:bCs/>
      <w:sz w:val="24"/>
    </w:rPr>
  </w:style>
  <w:style w:type="paragraph" w:customStyle="1" w:styleId="xl84">
    <w:name w:val="xl84"/>
    <w:basedOn w:val="Normal"/>
    <w:rsid w:val="0046035A"/>
    <w:pPr>
      <w:pBdr>
        <w:bottom w:val="single" w:sz="8" w:space="0" w:color="auto"/>
      </w:pBdr>
      <w:shd w:val="clear" w:color="000000" w:fill="FFFFFF"/>
      <w:spacing w:before="100" w:beforeAutospacing="1" w:after="100" w:afterAutospacing="1"/>
      <w:textAlignment w:val="top"/>
    </w:pPr>
    <w:rPr>
      <w:rFonts w:ascii="Times New Roman" w:hAnsi="Times New Roman"/>
      <w:sz w:val="24"/>
    </w:rPr>
  </w:style>
  <w:style w:type="paragraph" w:customStyle="1" w:styleId="xl85">
    <w:name w:val="xl85"/>
    <w:basedOn w:val="Normal"/>
    <w:rsid w:val="00A5154D"/>
    <w:pPr>
      <w:spacing w:before="100" w:beforeAutospacing="1" w:after="100" w:afterAutospacing="1"/>
    </w:pPr>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8464">
      <w:bodyDiv w:val="1"/>
      <w:marLeft w:val="0"/>
      <w:marRight w:val="0"/>
      <w:marTop w:val="0"/>
      <w:marBottom w:val="0"/>
      <w:divBdr>
        <w:top w:val="none" w:sz="0" w:space="0" w:color="auto"/>
        <w:left w:val="none" w:sz="0" w:space="0" w:color="auto"/>
        <w:bottom w:val="none" w:sz="0" w:space="0" w:color="auto"/>
        <w:right w:val="none" w:sz="0" w:space="0" w:color="auto"/>
      </w:divBdr>
      <w:divsChild>
        <w:div w:id="839807514">
          <w:marLeft w:val="0"/>
          <w:marRight w:val="0"/>
          <w:marTop w:val="0"/>
          <w:marBottom w:val="0"/>
          <w:divBdr>
            <w:top w:val="none" w:sz="0" w:space="0" w:color="auto"/>
            <w:left w:val="none" w:sz="0" w:space="0" w:color="auto"/>
            <w:bottom w:val="none" w:sz="0" w:space="0" w:color="auto"/>
            <w:right w:val="none" w:sz="0" w:space="0" w:color="auto"/>
          </w:divBdr>
          <w:divsChild>
            <w:div w:id="497887613">
              <w:marLeft w:val="0"/>
              <w:marRight w:val="0"/>
              <w:marTop w:val="0"/>
              <w:marBottom w:val="0"/>
              <w:divBdr>
                <w:top w:val="none" w:sz="0" w:space="0" w:color="auto"/>
                <w:left w:val="none" w:sz="0" w:space="0" w:color="auto"/>
                <w:bottom w:val="none" w:sz="0" w:space="0" w:color="auto"/>
                <w:right w:val="none" w:sz="0" w:space="0" w:color="auto"/>
              </w:divBdr>
              <w:divsChild>
                <w:div w:id="2082018029">
                  <w:marLeft w:val="0"/>
                  <w:marRight w:val="0"/>
                  <w:marTop w:val="0"/>
                  <w:marBottom w:val="0"/>
                  <w:divBdr>
                    <w:top w:val="none" w:sz="0" w:space="0" w:color="auto"/>
                    <w:left w:val="none" w:sz="0" w:space="0" w:color="auto"/>
                    <w:bottom w:val="none" w:sz="0" w:space="0" w:color="auto"/>
                    <w:right w:val="none" w:sz="0" w:space="0" w:color="auto"/>
                  </w:divBdr>
                  <w:divsChild>
                    <w:div w:id="1428191374">
                      <w:marLeft w:val="0"/>
                      <w:marRight w:val="0"/>
                      <w:marTop w:val="0"/>
                      <w:marBottom w:val="0"/>
                      <w:divBdr>
                        <w:top w:val="none" w:sz="0" w:space="0" w:color="auto"/>
                        <w:left w:val="none" w:sz="0" w:space="0" w:color="auto"/>
                        <w:bottom w:val="none" w:sz="0" w:space="0" w:color="auto"/>
                        <w:right w:val="none" w:sz="0" w:space="0" w:color="auto"/>
                      </w:divBdr>
                      <w:divsChild>
                        <w:div w:id="17757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2152">
      <w:bodyDiv w:val="1"/>
      <w:marLeft w:val="0"/>
      <w:marRight w:val="0"/>
      <w:marTop w:val="0"/>
      <w:marBottom w:val="0"/>
      <w:divBdr>
        <w:top w:val="none" w:sz="0" w:space="0" w:color="auto"/>
        <w:left w:val="none" w:sz="0" w:space="0" w:color="auto"/>
        <w:bottom w:val="none" w:sz="0" w:space="0" w:color="auto"/>
        <w:right w:val="none" w:sz="0" w:space="0" w:color="auto"/>
      </w:divBdr>
      <w:divsChild>
        <w:div w:id="631980654">
          <w:marLeft w:val="0"/>
          <w:marRight w:val="0"/>
          <w:marTop w:val="0"/>
          <w:marBottom w:val="0"/>
          <w:divBdr>
            <w:top w:val="none" w:sz="0" w:space="0" w:color="auto"/>
            <w:left w:val="none" w:sz="0" w:space="0" w:color="auto"/>
            <w:bottom w:val="none" w:sz="0" w:space="0" w:color="auto"/>
            <w:right w:val="none" w:sz="0" w:space="0" w:color="auto"/>
          </w:divBdr>
          <w:divsChild>
            <w:div w:id="1527408068">
              <w:marLeft w:val="0"/>
              <w:marRight w:val="0"/>
              <w:marTop w:val="0"/>
              <w:marBottom w:val="0"/>
              <w:divBdr>
                <w:top w:val="none" w:sz="0" w:space="0" w:color="auto"/>
                <w:left w:val="none" w:sz="0" w:space="0" w:color="auto"/>
                <w:bottom w:val="none" w:sz="0" w:space="0" w:color="auto"/>
                <w:right w:val="none" w:sz="0" w:space="0" w:color="auto"/>
              </w:divBdr>
              <w:divsChild>
                <w:div w:id="1150635006">
                  <w:marLeft w:val="0"/>
                  <w:marRight w:val="0"/>
                  <w:marTop w:val="0"/>
                  <w:marBottom w:val="0"/>
                  <w:divBdr>
                    <w:top w:val="none" w:sz="0" w:space="0" w:color="auto"/>
                    <w:left w:val="none" w:sz="0" w:space="0" w:color="auto"/>
                    <w:bottom w:val="none" w:sz="0" w:space="0" w:color="auto"/>
                    <w:right w:val="none" w:sz="0" w:space="0" w:color="auto"/>
                  </w:divBdr>
                  <w:divsChild>
                    <w:div w:id="305201968">
                      <w:marLeft w:val="0"/>
                      <w:marRight w:val="0"/>
                      <w:marTop w:val="0"/>
                      <w:marBottom w:val="0"/>
                      <w:divBdr>
                        <w:top w:val="none" w:sz="0" w:space="0" w:color="auto"/>
                        <w:left w:val="none" w:sz="0" w:space="0" w:color="auto"/>
                        <w:bottom w:val="none" w:sz="0" w:space="0" w:color="auto"/>
                        <w:right w:val="none" w:sz="0" w:space="0" w:color="auto"/>
                      </w:divBdr>
                      <w:divsChild>
                        <w:div w:id="16520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42599">
      <w:bodyDiv w:val="1"/>
      <w:marLeft w:val="0"/>
      <w:marRight w:val="0"/>
      <w:marTop w:val="0"/>
      <w:marBottom w:val="0"/>
      <w:divBdr>
        <w:top w:val="none" w:sz="0" w:space="0" w:color="auto"/>
        <w:left w:val="none" w:sz="0" w:space="0" w:color="auto"/>
        <w:bottom w:val="none" w:sz="0" w:space="0" w:color="auto"/>
        <w:right w:val="none" w:sz="0" w:space="0" w:color="auto"/>
      </w:divBdr>
      <w:divsChild>
        <w:div w:id="1884830578">
          <w:marLeft w:val="0"/>
          <w:marRight w:val="0"/>
          <w:marTop w:val="0"/>
          <w:marBottom w:val="0"/>
          <w:divBdr>
            <w:top w:val="none" w:sz="0" w:space="0" w:color="auto"/>
            <w:left w:val="none" w:sz="0" w:space="0" w:color="auto"/>
            <w:bottom w:val="none" w:sz="0" w:space="0" w:color="auto"/>
            <w:right w:val="none" w:sz="0" w:space="0" w:color="auto"/>
          </w:divBdr>
          <w:divsChild>
            <w:div w:id="18047639">
              <w:marLeft w:val="0"/>
              <w:marRight w:val="0"/>
              <w:marTop w:val="0"/>
              <w:marBottom w:val="0"/>
              <w:divBdr>
                <w:top w:val="none" w:sz="0" w:space="0" w:color="auto"/>
                <w:left w:val="none" w:sz="0" w:space="0" w:color="auto"/>
                <w:bottom w:val="none" w:sz="0" w:space="0" w:color="auto"/>
                <w:right w:val="none" w:sz="0" w:space="0" w:color="auto"/>
              </w:divBdr>
              <w:divsChild>
                <w:div w:id="1809976487">
                  <w:marLeft w:val="0"/>
                  <w:marRight w:val="0"/>
                  <w:marTop w:val="0"/>
                  <w:marBottom w:val="0"/>
                  <w:divBdr>
                    <w:top w:val="none" w:sz="0" w:space="0" w:color="auto"/>
                    <w:left w:val="none" w:sz="0" w:space="0" w:color="auto"/>
                    <w:bottom w:val="none" w:sz="0" w:space="0" w:color="auto"/>
                    <w:right w:val="none" w:sz="0" w:space="0" w:color="auto"/>
                  </w:divBdr>
                  <w:divsChild>
                    <w:div w:id="482164323">
                      <w:marLeft w:val="0"/>
                      <w:marRight w:val="0"/>
                      <w:marTop w:val="0"/>
                      <w:marBottom w:val="0"/>
                      <w:divBdr>
                        <w:top w:val="none" w:sz="0" w:space="0" w:color="auto"/>
                        <w:left w:val="none" w:sz="0" w:space="0" w:color="auto"/>
                        <w:bottom w:val="none" w:sz="0" w:space="0" w:color="auto"/>
                        <w:right w:val="none" w:sz="0" w:space="0" w:color="auto"/>
                      </w:divBdr>
                    </w:div>
                    <w:div w:id="502283269">
                      <w:marLeft w:val="0"/>
                      <w:marRight w:val="0"/>
                      <w:marTop w:val="0"/>
                      <w:marBottom w:val="0"/>
                      <w:divBdr>
                        <w:top w:val="none" w:sz="0" w:space="0" w:color="auto"/>
                        <w:left w:val="none" w:sz="0" w:space="0" w:color="auto"/>
                        <w:bottom w:val="none" w:sz="0" w:space="0" w:color="auto"/>
                        <w:right w:val="none" w:sz="0" w:space="0" w:color="auto"/>
                      </w:divBdr>
                      <w:divsChild>
                        <w:div w:id="1741364820">
                          <w:marLeft w:val="0"/>
                          <w:marRight w:val="0"/>
                          <w:marTop w:val="0"/>
                          <w:marBottom w:val="0"/>
                          <w:divBdr>
                            <w:top w:val="none" w:sz="0" w:space="0" w:color="auto"/>
                            <w:left w:val="none" w:sz="0" w:space="0" w:color="auto"/>
                            <w:bottom w:val="none" w:sz="0" w:space="0" w:color="auto"/>
                            <w:right w:val="none" w:sz="0" w:space="0" w:color="auto"/>
                          </w:divBdr>
                          <w:divsChild>
                            <w:div w:id="742993489">
                              <w:marLeft w:val="0"/>
                              <w:marRight w:val="0"/>
                              <w:marTop w:val="0"/>
                              <w:marBottom w:val="0"/>
                              <w:divBdr>
                                <w:top w:val="none" w:sz="0" w:space="0" w:color="auto"/>
                                <w:left w:val="none" w:sz="0" w:space="0" w:color="auto"/>
                                <w:bottom w:val="none" w:sz="0" w:space="0" w:color="auto"/>
                                <w:right w:val="none" w:sz="0" w:space="0" w:color="auto"/>
                              </w:divBdr>
                            </w:div>
                            <w:div w:id="1603763258">
                              <w:marLeft w:val="0"/>
                              <w:marRight w:val="0"/>
                              <w:marTop w:val="0"/>
                              <w:marBottom w:val="0"/>
                              <w:divBdr>
                                <w:top w:val="none" w:sz="0" w:space="0" w:color="auto"/>
                                <w:left w:val="none" w:sz="0" w:space="0" w:color="auto"/>
                                <w:bottom w:val="none" w:sz="0" w:space="0" w:color="auto"/>
                                <w:right w:val="none" w:sz="0" w:space="0" w:color="auto"/>
                              </w:divBdr>
                            </w:div>
                            <w:div w:id="18037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0973">
                      <w:marLeft w:val="0"/>
                      <w:marRight w:val="0"/>
                      <w:marTop w:val="0"/>
                      <w:marBottom w:val="0"/>
                      <w:divBdr>
                        <w:top w:val="none" w:sz="0" w:space="0" w:color="auto"/>
                        <w:left w:val="none" w:sz="0" w:space="0" w:color="auto"/>
                        <w:bottom w:val="none" w:sz="0" w:space="0" w:color="auto"/>
                        <w:right w:val="none" w:sz="0" w:space="0" w:color="auto"/>
                      </w:divBdr>
                    </w:div>
                    <w:div w:id="1224026172">
                      <w:marLeft w:val="0"/>
                      <w:marRight w:val="0"/>
                      <w:marTop w:val="0"/>
                      <w:marBottom w:val="0"/>
                      <w:divBdr>
                        <w:top w:val="none" w:sz="0" w:space="0" w:color="auto"/>
                        <w:left w:val="none" w:sz="0" w:space="0" w:color="auto"/>
                        <w:bottom w:val="none" w:sz="0" w:space="0" w:color="auto"/>
                        <w:right w:val="none" w:sz="0" w:space="0" w:color="auto"/>
                      </w:divBdr>
                      <w:divsChild>
                        <w:div w:id="14014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164009">
      <w:bodyDiv w:val="1"/>
      <w:marLeft w:val="0"/>
      <w:marRight w:val="0"/>
      <w:marTop w:val="0"/>
      <w:marBottom w:val="0"/>
      <w:divBdr>
        <w:top w:val="none" w:sz="0" w:space="0" w:color="auto"/>
        <w:left w:val="none" w:sz="0" w:space="0" w:color="auto"/>
        <w:bottom w:val="none" w:sz="0" w:space="0" w:color="auto"/>
        <w:right w:val="none" w:sz="0" w:space="0" w:color="auto"/>
      </w:divBdr>
    </w:div>
    <w:div w:id="353069482">
      <w:marLeft w:val="0"/>
      <w:marRight w:val="0"/>
      <w:marTop w:val="0"/>
      <w:marBottom w:val="0"/>
      <w:divBdr>
        <w:top w:val="none" w:sz="0" w:space="0" w:color="auto"/>
        <w:left w:val="none" w:sz="0" w:space="0" w:color="auto"/>
        <w:bottom w:val="none" w:sz="0" w:space="0" w:color="auto"/>
        <w:right w:val="none" w:sz="0" w:space="0" w:color="auto"/>
      </w:divBdr>
    </w:div>
    <w:div w:id="357317668">
      <w:bodyDiv w:val="1"/>
      <w:marLeft w:val="0"/>
      <w:marRight w:val="0"/>
      <w:marTop w:val="0"/>
      <w:marBottom w:val="0"/>
      <w:divBdr>
        <w:top w:val="none" w:sz="0" w:space="0" w:color="auto"/>
        <w:left w:val="none" w:sz="0" w:space="0" w:color="auto"/>
        <w:bottom w:val="none" w:sz="0" w:space="0" w:color="auto"/>
        <w:right w:val="none" w:sz="0" w:space="0" w:color="auto"/>
      </w:divBdr>
    </w:div>
    <w:div w:id="541282660">
      <w:bodyDiv w:val="1"/>
      <w:marLeft w:val="0"/>
      <w:marRight w:val="0"/>
      <w:marTop w:val="0"/>
      <w:marBottom w:val="0"/>
      <w:divBdr>
        <w:top w:val="none" w:sz="0" w:space="0" w:color="auto"/>
        <w:left w:val="none" w:sz="0" w:space="0" w:color="auto"/>
        <w:bottom w:val="none" w:sz="0" w:space="0" w:color="auto"/>
        <w:right w:val="none" w:sz="0" w:space="0" w:color="auto"/>
      </w:divBdr>
    </w:div>
    <w:div w:id="547498458">
      <w:bodyDiv w:val="1"/>
      <w:marLeft w:val="0"/>
      <w:marRight w:val="0"/>
      <w:marTop w:val="0"/>
      <w:marBottom w:val="0"/>
      <w:divBdr>
        <w:top w:val="none" w:sz="0" w:space="0" w:color="auto"/>
        <w:left w:val="none" w:sz="0" w:space="0" w:color="auto"/>
        <w:bottom w:val="none" w:sz="0" w:space="0" w:color="auto"/>
        <w:right w:val="none" w:sz="0" w:space="0" w:color="auto"/>
      </w:divBdr>
    </w:div>
    <w:div w:id="577834277">
      <w:bodyDiv w:val="1"/>
      <w:marLeft w:val="0"/>
      <w:marRight w:val="0"/>
      <w:marTop w:val="0"/>
      <w:marBottom w:val="0"/>
      <w:divBdr>
        <w:top w:val="none" w:sz="0" w:space="0" w:color="auto"/>
        <w:left w:val="none" w:sz="0" w:space="0" w:color="auto"/>
        <w:bottom w:val="none" w:sz="0" w:space="0" w:color="auto"/>
        <w:right w:val="none" w:sz="0" w:space="0" w:color="auto"/>
      </w:divBdr>
    </w:div>
    <w:div w:id="737289871">
      <w:bodyDiv w:val="1"/>
      <w:marLeft w:val="120"/>
      <w:marRight w:val="120"/>
      <w:marTop w:val="120"/>
      <w:marBottom w:val="120"/>
      <w:divBdr>
        <w:top w:val="none" w:sz="0" w:space="0" w:color="auto"/>
        <w:left w:val="none" w:sz="0" w:space="0" w:color="auto"/>
        <w:bottom w:val="none" w:sz="0" w:space="0" w:color="auto"/>
        <w:right w:val="none" w:sz="0" w:space="0" w:color="auto"/>
      </w:divBdr>
    </w:div>
    <w:div w:id="750351338">
      <w:marLeft w:val="0"/>
      <w:marRight w:val="0"/>
      <w:marTop w:val="0"/>
      <w:marBottom w:val="0"/>
      <w:divBdr>
        <w:top w:val="none" w:sz="0" w:space="0" w:color="auto"/>
        <w:left w:val="none" w:sz="0" w:space="0" w:color="auto"/>
        <w:bottom w:val="none" w:sz="0" w:space="0" w:color="auto"/>
        <w:right w:val="none" w:sz="0" w:space="0" w:color="auto"/>
      </w:divBdr>
    </w:div>
    <w:div w:id="867063230">
      <w:bodyDiv w:val="1"/>
      <w:marLeft w:val="0"/>
      <w:marRight w:val="0"/>
      <w:marTop w:val="0"/>
      <w:marBottom w:val="0"/>
      <w:divBdr>
        <w:top w:val="none" w:sz="0" w:space="0" w:color="auto"/>
        <w:left w:val="none" w:sz="0" w:space="0" w:color="auto"/>
        <w:bottom w:val="none" w:sz="0" w:space="0" w:color="auto"/>
        <w:right w:val="none" w:sz="0" w:space="0" w:color="auto"/>
      </w:divBdr>
    </w:div>
    <w:div w:id="1005399756">
      <w:bodyDiv w:val="1"/>
      <w:marLeft w:val="0"/>
      <w:marRight w:val="0"/>
      <w:marTop w:val="0"/>
      <w:marBottom w:val="0"/>
      <w:divBdr>
        <w:top w:val="none" w:sz="0" w:space="0" w:color="auto"/>
        <w:left w:val="none" w:sz="0" w:space="0" w:color="auto"/>
        <w:bottom w:val="none" w:sz="0" w:space="0" w:color="auto"/>
        <w:right w:val="none" w:sz="0" w:space="0" w:color="auto"/>
      </w:divBdr>
    </w:div>
    <w:div w:id="1061441608">
      <w:bodyDiv w:val="1"/>
      <w:marLeft w:val="0"/>
      <w:marRight w:val="0"/>
      <w:marTop w:val="0"/>
      <w:marBottom w:val="0"/>
      <w:divBdr>
        <w:top w:val="none" w:sz="0" w:space="0" w:color="auto"/>
        <w:left w:val="none" w:sz="0" w:space="0" w:color="auto"/>
        <w:bottom w:val="none" w:sz="0" w:space="0" w:color="auto"/>
        <w:right w:val="none" w:sz="0" w:space="0" w:color="auto"/>
      </w:divBdr>
      <w:divsChild>
        <w:div w:id="802894366">
          <w:marLeft w:val="0"/>
          <w:marRight w:val="0"/>
          <w:marTop w:val="0"/>
          <w:marBottom w:val="0"/>
          <w:divBdr>
            <w:top w:val="none" w:sz="0" w:space="0" w:color="auto"/>
            <w:left w:val="none" w:sz="0" w:space="0" w:color="auto"/>
            <w:bottom w:val="none" w:sz="0" w:space="0" w:color="auto"/>
            <w:right w:val="none" w:sz="0" w:space="0" w:color="auto"/>
          </w:divBdr>
          <w:divsChild>
            <w:div w:id="2106261669">
              <w:marLeft w:val="0"/>
              <w:marRight w:val="0"/>
              <w:marTop w:val="0"/>
              <w:marBottom w:val="0"/>
              <w:divBdr>
                <w:top w:val="none" w:sz="0" w:space="0" w:color="auto"/>
                <w:left w:val="none" w:sz="0" w:space="0" w:color="auto"/>
                <w:bottom w:val="none" w:sz="0" w:space="0" w:color="auto"/>
                <w:right w:val="none" w:sz="0" w:space="0" w:color="auto"/>
              </w:divBdr>
              <w:divsChild>
                <w:div w:id="215626605">
                  <w:marLeft w:val="0"/>
                  <w:marRight w:val="0"/>
                  <w:marTop w:val="0"/>
                  <w:marBottom w:val="0"/>
                  <w:divBdr>
                    <w:top w:val="none" w:sz="0" w:space="0" w:color="auto"/>
                    <w:left w:val="none" w:sz="0" w:space="0" w:color="auto"/>
                    <w:bottom w:val="none" w:sz="0" w:space="0" w:color="auto"/>
                    <w:right w:val="none" w:sz="0" w:space="0" w:color="auto"/>
                  </w:divBdr>
                  <w:divsChild>
                    <w:div w:id="246887044">
                      <w:marLeft w:val="0"/>
                      <w:marRight w:val="0"/>
                      <w:marTop w:val="0"/>
                      <w:marBottom w:val="0"/>
                      <w:divBdr>
                        <w:top w:val="none" w:sz="0" w:space="0" w:color="auto"/>
                        <w:left w:val="none" w:sz="0" w:space="0" w:color="auto"/>
                        <w:bottom w:val="none" w:sz="0" w:space="0" w:color="auto"/>
                        <w:right w:val="none" w:sz="0" w:space="0" w:color="auto"/>
                      </w:divBdr>
                    </w:div>
                    <w:div w:id="565729998">
                      <w:marLeft w:val="0"/>
                      <w:marRight w:val="0"/>
                      <w:marTop w:val="0"/>
                      <w:marBottom w:val="0"/>
                      <w:divBdr>
                        <w:top w:val="none" w:sz="0" w:space="0" w:color="auto"/>
                        <w:left w:val="none" w:sz="0" w:space="0" w:color="auto"/>
                        <w:bottom w:val="none" w:sz="0" w:space="0" w:color="auto"/>
                        <w:right w:val="none" w:sz="0" w:space="0" w:color="auto"/>
                      </w:divBdr>
                      <w:divsChild>
                        <w:div w:id="1958753414">
                          <w:marLeft w:val="0"/>
                          <w:marRight w:val="0"/>
                          <w:marTop w:val="0"/>
                          <w:marBottom w:val="0"/>
                          <w:divBdr>
                            <w:top w:val="none" w:sz="0" w:space="0" w:color="auto"/>
                            <w:left w:val="none" w:sz="0" w:space="0" w:color="auto"/>
                            <w:bottom w:val="none" w:sz="0" w:space="0" w:color="auto"/>
                            <w:right w:val="none" w:sz="0" w:space="0" w:color="auto"/>
                          </w:divBdr>
                          <w:divsChild>
                            <w:div w:id="34085079">
                              <w:marLeft w:val="0"/>
                              <w:marRight w:val="0"/>
                              <w:marTop w:val="0"/>
                              <w:marBottom w:val="0"/>
                              <w:divBdr>
                                <w:top w:val="none" w:sz="0" w:space="0" w:color="auto"/>
                                <w:left w:val="none" w:sz="0" w:space="0" w:color="auto"/>
                                <w:bottom w:val="none" w:sz="0" w:space="0" w:color="auto"/>
                                <w:right w:val="none" w:sz="0" w:space="0" w:color="auto"/>
                              </w:divBdr>
                            </w:div>
                            <w:div w:id="81072533">
                              <w:marLeft w:val="0"/>
                              <w:marRight w:val="0"/>
                              <w:marTop w:val="0"/>
                              <w:marBottom w:val="0"/>
                              <w:divBdr>
                                <w:top w:val="none" w:sz="0" w:space="0" w:color="auto"/>
                                <w:left w:val="none" w:sz="0" w:space="0" w:color="auto"/>
                                <w:bottom w:val="none" w:sz="0" w:space="0" w:color="auto"/>
                                <w:right w:val="none" w:sz="0" w:space="0" w:color="auto"/>
                              </w:divBdr>
                            </w:div>
                            <w:div w:id="18668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60401">
                      <w:marLeft w:val="0"/>
                      <w:marRight w:val="0"/>
                      <w:marTop w:val="0"/>
                      <w:marBottom w:val="0"/>
                      <w:divBdr>
                        <w:top w:val="none" w:sz="0" w:space="0" w:color="auto"/>
                        <w:left w:val="none" w:sz="0" w:space="0" w:color="auto"/>
                        <w:bottom w:val="none" w:sz="0" w:space="0" w:color="auto"/>
                        <w:right w:val="none" w:sz="0" w:space="0" w:color="auto"/>
                      </w:divBdr>
                    </w:div>
                    <w:div w:id="945312454">
                      <w:marLeft w:val="0"/>
                      <w:marRight w:val="0"/>
                      <w:marTop w:val="0"/>
                      <w:marBottom w:val="0"/>
                      <w:divBdr>
                        <w:top w:val="none" w:sz="0" w:space="0" w:color="auto"/>
                        <w:left w:val="none" w:sz="0" w:space="0" w:color="auto"/>
                        <w:bottom w:val="none" w:sz="0" w:space="0" w:color="auto"/>
                        <w:right w:val="none" w:sz="0" w:space="0" w:color="auto"/>
                      </w:divBdr>
                      <w:divsChild>
                        <w:div w:id="15829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07328">
      <w:bodyDiv w:val="1"/>
      <w:marLeft w:val="0"/>
      <w:marRight w:val="0"/>
      <w:marTop w:val="0"/>
      <w:marBottom w:val="0"/>
      <w:divBdr>
        <w:top w:val="none" w:sz="0" w:space="0" w:color="auto"/>
        <w:left w:val="none" w:sz="0" w:space="0" w:color="auto"/>
        <w:bottom w:val="none" w:sz="0" w:space="0" w:color="auto"/>
        <w:right w:val="none" w:sz="0" w:space="0" w:color="auto"/>
      </w:divBdr>
    </w:div>
    <w:div w:id="1163854663">
      <w:bodyDiv w:val="1"/>
      <w:marLeft w:val="0"/>
      <w:marRight w:val="0"/>
      <w:marTop w:val="0"/>
      <w:marBottom w:val="0"/>
      <w:divBdr>
        <w:top w:val="none" w:sz="0" w:space="0" w:color="auto"/>
        <w:left w:val="none" w:sz="0" w:space="0" w:color="auto"/>
        <w:bottom w:val="none" w:sz="0" w:space="0" w:color="auto"/>
        <w:right w:val="none" w:sz="0" w:space="0" w:color="auto"/>
      </w:divBdr>
    </w:div>
    <w:div w:id="1171335329">
      <w:bodyDiv w:val="1"/>
      <w:marLeft w:val="0"/>
      <w:marRight w:val="0"/>
      <w:marTop w:val="0"/>
      <w:marBottom w:val="0"/>
      <w:divBdr>
        <w:top w:val="none" w:sz="0" w:space="0" w:color="auto"/>
        <w:left w:val="none" w:sz="0" w:space="0" w:color="auto"/>
        <w:bottom w:val="none" w:sz="0" w:space="0" w:color="auto"/>
        <w:right w:val="none" w:sz="0" w:space="0" w:color="auto"/>
      </w:divBdr>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334452118">
      <w:bodyDiv w:val="1"/>
      <w:marLeft w:val="0"/>
      <w:marRight w:val="0"/>
      <w:marTop w:val="0"/>
      <w:marBottom w:val="0"/>
      <w:divBdr>
        <w:top w:val="none" w:sz="0" w:space="0" w:color="auto"/>
        <w:left w:val="none" w:sz="0" w:space="0" w:color="auto"/>
        <w:bottom w:val="none" w:sz="0" w:space="0" w:color="auto"/>
        <w:right w:val="none" w:sz="0" w:space="0" w:color="auto"/>
      </w:divBdr>
    </w:div>
    <w:div w:id="1443765835">
      <w:marLeft w:val="0"/>
      <w:marRight w:val="0"/>
      <w:marTop w:val="0"/>
      <w:marBottom w:val="0"/>
      <w:divBdr>
        <w:top w:val="none" w:sz="0" w:space="0" w:color="auto"/>
        <w:left w:val="none" w:sz="0" w:space="0" w:color="auto"/>
        <w:bottom w:val="none" w:sz="0" w:space="0" w:color="auto"/>
        <w:right w:val="none" w:sz="0" w:space="0" w:color="auto"/>
      </w:divBdr>
    </w:div>
    <w:div w:id="1449006016">
      <w:bodyDiv w:val="1"/>
      <w:marLeft w:val="0"/>
      <w:marRight w:val="0"/>
      <w:marTop w:val="0"/>
      <w:marBottom w:val="0"/>
      <w:divBdr>
        <w:top w:val="none" w:sz="0" w:space="0" w:color="auto"/>
        <w:left w:val="none" w:sz="0" w:space="0" w:color="auto"/>
        <w:bottom w:val="none" w:sz="0" w:space="0" w:color="auto"/>
        <w:right w:val="none" w:sz="0" w:space="0" w:color="auto"/>
      </w:divBdr>
    </w:div>
    <w:div w:id="1478184998">
      <w:bodyDiv w:val="1"/>
      <w:marLeft w:val="0"/>
      <w:marRight w:val="0"/>
      <w:marTop w:val="0"/>
      <w:marBottom w:val="0"/>
      <w:divBdr>
        <w:top w:val="none" w:sz="0" w:space="0" w:color="auto"/>
        <w:left w:val="none" w:sz="0" w:space="0" w:color="auto"/>
        <w:bottom w:val="none" w:sz="0" w:space="0" w:color="auto"/>
        <w:right w:val="none" w:sz="0" w:space="0" w:color="auto"/>
      </w:divBdr>
    </w:div>
    <w:div w:id="1547063086">
      <w:bodyDiv w:val="1"/>
      <w:marLeft w:val="0"/>
      <w:marRight w:val="0"/>
      <w:marTop w:val="0"/>
      <w:marBottom w:val="0"/>
      <w:divBdr>
        <w:top w:val="none" w:sz="0" w:space="0" w:color="auto"/>
        <w:left w:val="none" w:sz="0" w:space="0" w:color="auto"/>
        <w:bottom w:val="none" w:sz="0" w:space="0" w:color="auto"/>
        <w:right w:val="none" w:sz="0" w:space="0" w:color="auto"/>
      </w:divBdr>
    </w:div>
    <w:div w:id="1631742600">
      <w:bodyDiv w:val="1"/>
      <w:marLeft w:val="0"/>
      <w:marRight w:val="0"/>
      <w:marTop w:val="0"/>
      <w:marBottom w:val="0"/>
      <w:divBdr>
        <w:top w:val="none" w:sz="0" w:space="0" w:color="auto"/>
        <w:left w:val="none" w:sz="0" w:space="0" w:color="auto"/>
        <w:bottom w:val="none" w:sz="0" w:space="0" w:color="auto"/>
        <w:right w:val="none" w:sz="0" w:space="0" w:color="auto"/>
      </w:divBdr>
    </w:div>
    <w:div w:id="1738941506">
      <w:bodyDiv w:val="1"/>
      <w:marLeft w:val="0"/>
      <w:marRight w:val="0"/>
      <w:marTop w:val="0"/>
      <w:marBottom w:val="0"/>
      <w:divBdr>
        <w:top w:val="none" w:sz="0" w:space="0" w:color="auto"/>
        <w:left w:val="none" w:sz="0" w:space="0" w:color="auto"/>
        <w:bottom w:val="none" w:sz="0" w:space="0" w:color="auto"/>
        <w:right w:val="none" w:sz="0" w:space="0" w:color="auto"/>
      </w:divBdr>
      <w:divsChild>
        <w:div w:id="394817596">
          <w:marLeft w:val="0"/>
          <w:marRight w:val="0"/>
          <w:marTop w:val="0"/>
          <w:marBottom w:val="0"/>
          <w:divBdr>
            <w:top w:val="none" w:sz="0" w:space="0" w:color="auto"/>
            <w:left w:val="none" w:sz="0" w:space="0" w:color="auto"/>
            <w:bottom w:val="none" w:sz="0" w:space="0" w:color="auto"/>
            <w:right w:val="none" w:sz="0" w:space="0" w:color="auto"/>
          </w:divBdr>
        </w:div>
      </w:divsChild>
    </w:div>
    <w:div w:id="1842701553">
      <w:bodyDiv w:val="1"/>
      <w:marLeft w:val="0"/>
      <w:marRight w:val="0"/>
      <w:marTop w:val="0"/>
      <w:marBottom w:val="0"/>
      <w:divBdr>
        <w:top w:val="none" w:sz="0" w:space="0" w:color="auto"/>
        <w:left w:val="none" w:sz="0" w:space="0" w:color="auto"/>
        <w:bottom w:val="none" w:sz="0" w:space="0" w:color="auto"/>
        <w:right w:val="none" w:sz="0" w:space="0" w:color="auto"/>
      </w:divBdr>
      <w:divsChild>
        <w:div w:id="552158169">
          <w:marLeft w:val="0"/>
          <w:marRight w:val="0"/>
          <w:marTop w:val="0"/>
          <w:marBottom w:val="0"/>
          <w:divBdr>
            <w:top w:val="none" w:sz="0" w:space="0" w:color="auto"/>
            <w:left w:val="none" w:sz="0" w:space="0" w:color="auto"/>
            <w:bottom w:val="none" w:sz="0" w:space="0" w:color="auto"/>
            <w:right w:val="none" w:sz="0" w:space="0" w:color="auto"/>
          </w:divBdr>
          <w:divsChild>
            <w:div w:id="939679324">
              <w:marLeft w:val="0"/>
              <w:marRight w:val="0"/>
              <w:marTop w:val="0"/>
              <w:marBottom w:val="0"/>
              <w:divBdr>
                <w:top w:val="none" w:sz="0" w:space="0" w:color="auto"/>
                <w:left w:val="none" w:sz="0" w:space="0" w:color="auto"/>
                <w:bottom w:val="none" w:sz="0" w:space="0" w:color="auto"/>
                <w:right w:val="none" w:sz="0" w:space="0" w:color="auto"/>
              </w:divBdr>
              <w:divsChild>
                <w:div w:id="17352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99806">
      <w:marLeft w:val="0"/>
      <w:marRight w:val="0"/>
      <w:marTop w:val="0"/>
      <w:marBottom w:val="0"/>
      <w:divBdr>
        <w:top w:val="none" w:sz="0" w:space="0" w:color="auto"/>
        <w:left w:val="none" w:sz="0" w:space="0" w:color="auto"/>
        <w:bottom w:val="none" w:sz="0" w:space="0" w:color="auto"/>
        <w:right w:val="none" w:sz="0" w:space="0" w:color="auto"/>
      </w:divBdr>
      <w:divsChild>
        <w:div w:id="1798258595">
          <w:marLeft w:val="0"/>
          <w:marRight w:val="0"/>
          <w:marTop w:val="0"/>
          <w:marBottom w:val="0"/>
          <w:divBdr>
            <w:top w:val="none" w:sz="0" w:space="0" w:color="auto"/>
            <w:left w:val="none" w:sz="0" w:space="0" w:color="auto"/>
            <w:bottom w:val="none" w:sz="0" w:space="0" w:color="auto"/>
            <w:right w:val="none" w:sz="0" w:space="0" w:color="auto"/>
          </w:divBdr>
          <w:divsChild>
            <w:div w:id="1985309726">
              <w:marLeft w:val="0"/>
              <w:marRight w:val="0"/>
              <w:marTop w:val="0"/>
              <w:marBottom w:val="0"/>
              <w:divBdr>
                <w:top w:val="none" w:sz="0" w:space="0" w:color="auto"/>
                <w:left w:val="none" w:sz="0" w:space="0" w:color="auto"/>
                <w:bottom w:val="none" w:sz="0" w:space="0" w:color="auto"/>
                <w:right w:val="none" w:sz="0" w:space="0" w:color="auto"/>
              </w:divBdr>
              <w:divsChild>
                <w:div w:id="288897425">
                  <w:marLeft w:val="0"/>
                  <w:marRight w:val="0"/>
                  <w:marTop w:val="0"/>
                  <w:marBottom w:val="0"/>
                  <w:divBdr>
                    <w:top w:val="none" w:sz="0" w:space="0" w:color="auto"/>
                    <w:left w:val="none" w:sz="0" w:space="0" w:color="auto"/>
                    <w:bottom w:val="none" w:sz="0" w:space="0" w:color="auto"/>
                    <w:right w:val="none" w:sz="0" w:space="0" w:color="auto"/>
                  </w:divBdr>
                </w:div>
                <w:div w:id="808211098">
                  <w:marLeft w:val="0"/>
                  <w:marRight w:val="0"/>
                  <w:marTop w:val="0"/>
                  <w:marBottom w:val="0"/>
                  <w:divBdr>
                    <w:top w:val="none" w:sz="0" w:space="0" w:color="auto"/>
                    <w:left w:val="none" w:sz="0" w:space="0" w:color="auto"/>
                    <w:bottom w:val="none" w:sz="0" w:space="0" w:color="auto"/>
                    <w:right w:val="none" w:sz="0" w:space="0" w:color="auto"/>
                  </w:divBdr>
                </w:div>
                <w:div w:id="916088743">
                  <w:marLeft w:val="0"/>
                  <w:marRight w:val="0"/>
                  <w:marTop w:val="0"/>
                  <w:marBottom w:val="0"/>
                  <w:divBdr>
                    <w:top w:val="none" w:sz="0" w:space="0" w:color="auto"/>
                    <w:left w:val="none" w:sz="0" w:space="0" w:color="auto"/>
                    <w:bottom w:val="none" w:sz="0" w:space="0" w:color="auto"/>
                    <w:right w:val="none" w:sz="0" w:space="0" w:color="auto"/>
                  </w:divBdr>
                  <w:divsChild>
                    <w:div w:id="1720009130">
                      <w:marLeft w:val="0"/>
                      <w:marRight w:val="0"/>
                      <w:marTop w:val="0"/>
                      <w:marBottom w:val="0"/>
                      <w:divBdr>
                        <w:top w:val="none" w:sz="0" w:space="0" w:color="auto"/>
                        <w:left w:val="none" w:sz="0" w:space="0" w:color="auto"/>
                        <w:bottom w:val="none" w:sz="0" w:space="0" w:color="auto"/>
                        <w:right w:val="none" w:sz="0" w:space="0" w:color="auto"/>
                      </w:divBdr>
                    </w:div>
                  </w:divsChild>
                </w:div>
                <w:div w:id="1161505923">
                  <w:marLeft w:val="0"/>
                  <w:marRight w:val="0"/>
                  <w:marTop w:val="0"/>
                  <w:marBottom w:val="0"/>
                  <w:divBdr>
                    <w:top w:val="none" w:sz="0" w:space="0" w:color="auto"/>
                    <w:left w:val="none" w:sz="0" w:space="0" w:color="auto"/>
                    <w:bottom w:val="none" w:sz="0" w:space="0" w:color="auto"/>
                    <w:right w:val="none" w:sz="0" w:space="0" w:color="auto"/>
                  </w:divBdr>
                  <w:divsChild>
                    <w:div w:id="1308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scotland.gov.uk/Topics/Statistics/About" TargetMode="External"/><Relationship Id="rId26" Type="http://schemas.openxmlformats.org/officeDocument/2006/relationships/hyperlink" Target="http://www.gov.scot/input-output" TargetMode="External"/><Relationship Id="rId39" Type="http://schemas.openxmlformats.org/officeDocument/2006/relationships/image" Target="media/image9.png"/><Relationship Id="rId21" Type="http://schemas.openxmlformats.org/officeDocument/2006/relationships/image" Target="media/image2.emf"/><Relationship Id="rId34" Type="http://schemas.openxmlformats.org/officeDocument/2006/relationships/hyperlink" Target="http://ec.europa.eu/eurostat/en/web/products-manuals-and-guidelines/-/KS-RA-07-013" TargetMode="External"/><Relationship Id="rId42" Type="http://schemas.openxmlformats.org/officeDocument/2006/relationships/image" Target="media/image13.png"/><Relationship Id="rId47" Type="http://schemas.openxmlformats.org/officeDocument/2006/relationships/footer" Target="footer4.xml"/><Relationship Id="rId50" Type="http://schemas.openxmlformats.org/officeDocument/2006/relationships/image" Target="media/image19.emf"/><Relationship Id="rId55" Type="http://schemas.openxmlformats.org/officeDocument/2006/relationships/image" Target="media/image23.png"/><Relationship Id="rId63" Type="http://schemas.openxmlformats.org/officeDocument/2006/relationships/image" Target="media/image31.emf"/><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statisticsauthority.gov.uk/assessment/assessment/assessment-reports/assessment-report-300---supply-and-use-tables-and-input-output-tables.pdf" TargetMode="External"/><Relationship Id="rId29" Type="http://schemas.openxmlformats.org/officeDocument/2006/relationships/hyperlink" Target="ec.europa.eu/eurostat/web/prodcom/overvie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4.jpg"/><Relationship Id="rId32" Type="http://schemas.openxmlformats.org/officeDocument/2006/relationships/hyperlink" Target="http://www.gov.scot/Topics/Statistics/Browse/Economy/papers/SES2008A3" TargetMode="External"/><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image" Target="media/image16.png"/><Relationship Id="rId53" Type="http://schemas.openxmlformats.org/officeDocument/2006/relationships/image" Target="media/image21.emf"/><Relationship Id="rId58" Type="http://schemas.openxmlformats.org/officeDocument/2006/relationships/image" Target="media/image26.png"/><Relationship Id="rId66"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www.ons.gov.uk/ons/guide-method/classifications/current-standard-classifications/standard-industrial-classification/index.html" TargetMode="External"/><Relationship Id="rId23" Type="http://schemas.openxmlformats.org/officeDocument/2006/relationships/image" Target="media/image3.jpg"/><Relationship Id="rId28" Type="http://schemas.openxmlformats.org/officeDocument/2006/relationships/hyperlink" Target="http://www.gov.scot/input-output" TargetMode="External"/><Relationship Id="rId36" Type="http://schemas.openxmlformats.org/officeDocument/2006/relationships/image" Target="media/image6.png"/><Relationship Id="rId49" Type="http://schemas.openxmlformats.org/officeDocument/2006/relationships/image" Target="media/image18.emf"/><Relationship Id="rId57" Type="http://schemas.openxmlformats.org/officeDocument/2006/relationships/image" Target="media/image25.png"/><Relationship Id="rId61" Type="http://schemas.openxmlformats.org/officeDocument/2006/relationships/image" Target="media/image29.png"/><Relationship Id="rId10" Type="http://schemas.openxmlformats.org/officeDocument/2006/relationships/image" Target="media/image1.jpeg"/><Relationship Id="rId19" Type="http://schemas.openxmlformats.org/officeDocument/2006/relationships/hyperlink" Target="mailto:inputoutput@scotland.gsi.gov.uk" TargetMode="External"/><Relationship Id="rId31" Type="http://schemas.openxmlformats.org/officeDocument/2006/relationships/hyperlink" Target="http://www.scotland.gov.uk/Publications/2013/01/5652/downloads" TargetMode="External"/><Relationship Id="rId44" Type="http://schemas.openxmlformats.org/officeDocument/2006/relationships/image" Target="media/image15.png"/><Relationship Id="rId52" Type="http://schemas.openxmlformats.org/officeDocument/2006/relationships/hyperlink" Target="http://www.gov.scot/Topics/Statistics/Browse/Economy/ScotStat/comms" TargetMode="External"/><Relationship Id="rId60" Type="http://schemas.openxmlformats.org/officeDocument/2006/relationships/image" Target="media/image28.png"/><Relationship Id="rId65" Type="http://schemas.openxmlformats.org/officeDocument/2006/relationships/hyperlink" Target="http://www.ons.gov.uk/ons/guide-method/method-quality/specific/business-and-energy/manufacturing/index.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ec.europa.eu/eurostat/web/esa-2010" TargetMode="External"/><Relationship Id="rId22" Type="http://schemas.openxmlformats.org/officeDocument/2006/relationships/hyperlink" Target="http://www.gov.scot/input-output" TargetMode="External"/><Relationship Id="rId27" Type="http://schemas.openxmlformats.org/officeDocument/2006/relationships/footer" Target="footer3.xml"/><Relationship Id="rId30" Type="http://schemas.openxmlformats.org/officeDocument/2006/relationships/hyperlink" Target="http://www.gov.scot/snap" TargetMode="External"/><Relationship Id="rId35" Type="http://schemas.openxmlformats.org/officeDocument/2006/relationships/image" Target="media/image5.png"/><Relationship Id="rId43" Type="http://schemas.openxmlformats.org/officeDocument/2006/relationships/image" Target="media/image14.png"/><Relationship Id="rId48" Type="http://schemas.openxmlformats.org/officeDocument/2006/relationships/image" Target="media/image17.emf"/><Relationship Id="rId56" Type="http://schemas.openxmlformats.org/officeDocument/2006/relationships/image" Target="media/image24.png"/><Relationship Id="rId64" Type="http://schemas.openxmlformats.org/officeDocument/2006/relationships/hyperlink" Target="http://www.ons.gov.uk/ons/guide-method/method-quality/specific/business-and-energy/annual-business-survey/index.html" TargetMode="External"/><Relationship Id="rId8" Type="http://schemas.openxmlformats.org/officeDocument/2006/relationships/footnotes" Target="footnotes.xml"/><Relationship Id="rId51" Type="http://schemas.openxmlformats.org/officeDocument/2006/relationships/image" Target="media/image20.png"/><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www.statisticsauthority.gov.uk/reports---correspondence/correspondence/letter-from-ed-humpherson-to-roger-halliday-150615.pdf" TargetMode="External"/><Relationship Id="rId25" Type="http://schemas.openxmlformats.org/officeDocument/2006/relationships/hyperlink" Target="http://www.scotland.gov.uk/Topics/Statistics/Browse/Economy/Input-Output/Downloads" TargetMode="External"/><Relationship Id="rId33" Type="http://schemas.openxmlformats.org/officeDocument/2006/relationships/hyperlink" Target="http://www.gov.scot/Topics/Statistics/Browse/Economy/GERS" TargetMode="External"/><Relationship Id="rId38" Type="http://schemas.openxmlformats.org/officeDocument/2006/relationships/image" Target="media/image8.png"/><Relationship Id="rId46" Type="http://schemas.openxmlformats.org/officeDocument/2006/relationships/header" Target="header2.xml"/><Relationship Id="rId59" Type="http://schemas.openxmlformats.org/officeDocument/2006/relationships/image" Target="media/image27.png"/><Relationship Id="rId67" Type="http://schemas.openxmlformats.org/officeDocument/2006/relationships/theme" Target="theme/theme1.xml"/><Relationship Id="rId20" Type="http://schemas.openxmlformats.org/officeDocument/2006/relationships/hyperlink" Target="http://www.scotland.gov.uk/input-ouput" TargetMode="External"/><Relationship Id="rId41" Type="http://schemas.openxmlformats.org/officeDocument/2006/relationships/image" Target="media/image11.png"/><Relationship Id="rId54" Type="http://schemas.openxmlformats.org/officeDocument/2006/relationships/image" Target="media/image22.emf"/><Relationship Id="rId62" Type="http://schemas.openxmlformats.org/officeDocument/2006/relationships/image" Target="media/image30.png"/></Relationships>
</file>

<file path=word/_rels/footnotes.xml.rels><?xml version="1.0" encoding="UTF-8" standalone="yes"?>
<Relationships xmlns="http://schemas.openxmlformats.org/package/2006/relationships"><Relationship Id="rId8" Type="http://schemas.openxmlformats.org/officeDocument/2006/relationships/hyperlink" Target="http://www.gov.scot/input-output" TargetMode="External"/><Relationship Id="rId13" Type="http://schemas.openxmlformats.org/officeDocument/2006/relationships/hyperlink" Target="http://www.ons.gov.uk/ons/rel/input-output/input-output-supply-and-use-tables/2014-edition/rft-detailed-sut-1997-2012.xls" TargetMode="External"/><Relationship Id="rId18" Type="http://schemas.openxmlformats.org/officeDocument/2006/relationships/hyperlink" Target="http://www.gov.scot/Topics/Statistics/Browse/Economy/GERS" TargetMode="External"/><Relationship Id="rId3" Type="http://schemas.openxmlformats.org/officeDocument/2006/relationships/hyperlink" Target="http://www.statisticsauthority.gov.uk/assessment/assessment/assessment-reports/assessment-report-300---supply-and-use-tables-and-input-output-tables.pdf" TargetMode="External"/><Relationship Id="rId21" Type="http://schemas.openxmlformats.org/officeDocument/2006/relationships/hyperlink" Target="http://www.gov.scot/Topics/Statistics/Browse/Economy/ScotStat/comms" TargetMode="External"/><Relationship Id="rId7" Type="http://schemas.openxmlformats.org/officeDocument/2006/relationships/hyperlink" Target="http://www.gov.scot/input-output" TargetMode="External"/><Relationship Id="rId12" Type="http://schemas.openxmlformats.org/officeDocument/2006/relationships/hyperlink" Target="http://www.gov.scot/snap" TargetMode="External"/><Relationship Id="rId17" Type="http://schemas.openxmlformats.org/officeDocument/2006/relationships/hyperlink" Target="http://www.gov.scot/Topics/Statistics/Browse/Economy/ScotStat/comms" TargetMode="External"/><Relationship Id="rId2" Type="http://schemas.openxmlformats.org/officeDocument/2006/relationships/hyperlink" Target="http://www.ons.gov.uk/ons/guide-method/classifications/current-standard-classifications/standard-industrial-classification/index.html" TargetMode="External"/><Relationship Id="rId16" Type="http://schemas.openxmlformats.org/officeDocument/2006/relationships/hyperlink" Target="http://www.ons.gov.uk/ons/taxonomy/index.html?nscl=Regional+Accounts" TargetMode="External"/><Relationship Id="rId20" Type="http://schemas.openxmlformats.org/officeDocument/2006/relationships/image" Target="media/image12.png"/><Relationship Id="rId1" Type="http://schemas.openxmlformats.org/officeDocument/2006/relationships/hyperlink" Target="http://ec.europa.eu/eurostat/web/esa-2010" TargetMode="External"/><Relationship Id="rId6" Type="http://schemas.openxmlformats.org/officeDocument/2006/relationships/hyperlink" Target="http://www.ons.gov.uk/ons/guide-method/method-quality/specific/economy/input-output--uk-national-accounts/archive-data/uk-input-output-analyses--2006-edition.pdf" TargetMode="External"/><Relationship Id="rId11" Type="http://schemas.openxmlformats.org/officeDocument/2006/relationships/hyperlink" Target="http://www.ons.gov.uk/ons/guide-method/method-quality/specific/economy/input-output--uk-national-accounts/archive-data/uk-input-output-analyses--2006-edition.pdf" TargetMode="External"/><Relationship Id="rId24" Type="http://schemas.openxmlformats.org/officeDocument/2006/relationships/hyperlink" Target="http://www.ons.gov.uk/ons/guide-method/method-quality/specific/business-and-energy/manufacturing/index.html" TargetMode="External"/><Relationship Id="rId5" Type="http://schemas.openxmlformats.org/officeDocument/2006/relationships/hyperlink" Target="http://www.scotland.gov.uk/Topics/Statistics/About" TargetMode="External"/><Relationship Id="rId15" Type="http://schemas.openxmlformats.org/officeDocument/2006/relationships/hyperlink" Target="http://www.gov.scot/Topics/Statistics/Browse/Economy/Exports/GCSIntroduction" TargetMode="External"/><Relationship Id="rId23" Type="http://schemas.openxmlformats.org/officeDocument/2006/relationships/hyperlink" Target="http://www.ons.gov.uk/ons/guide-method/method-quality/specific/business-and-energy/annual-business-survey/index.html" TargetMode="External"/><Relationship Id="rId10" Type="http://schemas.openxmlformats.org/officeDocument/2006/relationships/hyperlink" Target="http://ec.europa.eu/eurostat/web/prodcom/overview" TargetMode="External"/><Relationship Id="rId19" Type="http://schemas.openxmlformats.org/officeDocument/2006/relationships/hyperlink" Target="http://ec.europa.eu/eurostat/en/web/products-manuals-and-guidelines/-/KS-RA-07-013" TargetMode="External"/><Relationship Id="rId4" Type="http://schemas.openxmlformats.org/officeDocument/2006/relationships/hyperlink" Target="http://www.statisticsauthority.gov.uk/reports---correspondence/correspondence/letter-from-ed-humpherson-to-roger-halliday-150615.pdf" TargetMode="External"/><Relationship Id="rId9" Type="http://schemas.openxmlformats.org/officeDocument/2006/relationships/hyperlink" Target="http://www.gov.scot/input-output" TargetMode="External"/><Relationship Id="rId14" Type="http://schemas.openxmlformats.org/officeDocument/2006/relationships/hyperlink" Target="http://www.scotland.gov.uk/publications/2013/01/5652/downloads" TargetMode="External"/><Relationship Id="rId22" Type="http://schemas.openxmlformats.org/officeDocument/2006/relationships/hyperlink" Target="https://www.nomisweb.co.uk/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A12118071</value>
    </field>
    <field name="Objective-Title">
      <value order="0">Admin \ UKSA Assesssment \ 2015 \ 05 Supply-Use tables methodology v2 - 1998-2012 - Final for publication</value>
    </field>
    <field name="Objective-Description">
      <value order="0"/>
    </field>
    <field name="Objective-CreationStamp">
      <value order="0">2015-09-07T10:21:51Z</value>
    </field>
    <field name="Objective-IsApproved">
      <value order="0">false</value>
    </field>
    <field name="Objective-IsPublished">
      <value order="0">true</value>
    </field>
    <field name="Objective-DatePublished">
      <value order="0">2015-09-07T12:51:27Z</value>
    </field>
    <field name="Objective-ModificationStamp">
      <value order="0">2015-09-07T12:51:27Z</value>
    </field>
    <field name="Objective-Owner">
      <value order="0">Croasdale, Stevan S (U202108)</value>
    </field>
    <field name="Objective-Path">
      <value order="0">Objective Global Folder:SG File Plan:Economics and finance:UK economy:Scottish economy:Research and analysis: Scottish economy:Scottish Input-Output (I-O) Statistics: Administration: 2005-2010</value>
    </field>
    <field name="Objective-Parent">
      <value order="0">Scottish Input-Output (I-O) Statistics: Administration: 2005-2010</value>
    </field>
    <field name="Objective-State">
      <value order="0">Published</value>
    </field>
    <field name="Objective-VersionId">
      <value order="0">vA16647448</value>
    </field>
    <field name="Objective-Version">
      <value order="0">2.0</value>
    </field>
    <field name="Objective-VersionNumber">
      <value order="0">2</value>
    </field>
    <field name="Objective-VersionComment">
      <value order="0"/>
    </field>
    <field name="Objective-FileNumber">
      <value order="0">qA133389</value>
    </field>
    <field name="Objective-Classification">
      <value order="0">Restricted</value>
    </field>
    <field name="Objective-Caveats">
      <value order="0">Caveat for access to SG Fileplan</value>
    </field>
  </systemFields>
  <catalogues>
    <catalogue name="Document Type Catalogue" type="type" ori="id:cA35">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874F8B0-B4F1-4D4A-864C-714241331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37</Pages>
  <Words>11391</Words>
  <Characters>67000</Characters>
  <Application>Microsoft Office Word</Application>
  <DocSecurity>0</DocSecurity>
  <Lines>558</Lines>
  <Paragraphs>156</Paragraphs>
  <ScaleCrop>false</ScaleCrop>
  <HeadingPairs>
    <vt:vector size="2" baseType="variant">
      <vt:variant>
        <vt:lpstr>Title</vt:lpstr>
      </vt:variant>
      <vt:variant>
        <vt:i4>1</vt:i4>
      </vt:variant>
    </vt:vector>
  </HeadingPairs>
  <TitlesOfParts>
    <vt:vector size="1" baseType="lpstr">
      <vt:lpstr>An Overview of the Input-Output tables</vt:lpstr>
    </vt:vector>
  </TitlesOfParts>
  <Company>Scottish Executive</Company>
  <LinksUpToDate>false</LinksUpToDate>
  <CharactersWithSpaces>78235</CharactersWithSpaces>
  <SharedDoc>false</SharedDoc>
  <HLinks>
    <vt:vector size="414" baseType="variant">
      <vt:variant>
        <vt:i4>589884</vt:i4>
      </vt:variant>
      <vt:variant>
        <vt:i4>291</vt:i4>
      </vt:variant>
      <vt:variant>
        <vt:i4>0</vt:i4>
      </vt:variant>
      <vt:variant>
        <vt:i4>5</vt:i4>
      </vt:variant>
      <vt:variant>
        <vt:lpwstr>http://epp.eurostat.ec.europa.eu/cache/ITY_OFFPUB/KS-RA-07-013/EN/KS-RA-07-013-EN.PDF</vt:lpwstr>
      </vt:variant>
      <vt:variant>
        <vt:lpwstr/>
      </vt:variant>
      <vt:variant>
        <vt:i4>4325400</vt:i4>
      </vt:variant>
      <vt:variant>
        <vt:i4>288</vt:i4>
      </vt:variant>
      <vt:variant>
        <vt:i4>0</vt:i4>
      </vt:variant>
      <vt:variant>
        <vt:i4>5</vt:i4>
      </vt:variant>
      <vt:variant>
        <vt:lpwstr>http://www.scotland.gov.uk/Topics/Statistics/Browse/Economy/papers/SES2008A3</vt:lpwstr>
      </vt:variant>
      <vt:variant>
        <vt:lpwstr/>
      </vt:variant>
      <vt:variant>
        <vt:i4>2359397</vt:i4>
      </vt:variant>
      <vt:variant>
        <vt:i4>282</vt:i4>
      </vt:variant>
      <vt:variant>
        <vt:i4>0</vt:i4>
      </vt:variant>
      <vt:variant>
        <vt:i4>5</vt:i4>
      </vt:variant>
      <vt:variant>
        <vt:lpwstr>http://www.scotland.gov.uk/Topics/Statistics/Browse/Economy/Input-Output/Downloads</vt:lpwstr>
      </vt:variant>
      <vt:variant>
        <vt:lpwstr/>
      </vt:variant>
      <vt:variant>
        <vt:i4>1310772</vt:i4>
      </vt:variant>
      <vt:variant>
        <vt:i4>275</vt:i4>
      </vt:variant>
      <vt:variant>
        <vt:i4>0</vt:i4>
      </vt:variant>
      <vt:variant>
        <vt:i4>5</vt:i4>
      </vt:variant>
      <vt:variant>
        <vt:lpwstr/>
      </vt:variant>
      <vt:variant>
        <vt:lpwstr>_Toc292469271</vt:lpwstr>
      </vt:variant>
      <vt:variant>
        <vt:i4>1310772</vt:i4>
      </vt:variant>
      <vt:variant>
        <vt:i4>269</vt:i4>
      </vt:variant>
      <vt:variant>
        <vt:i4>0</vt:i4>
      </vt:variant>
      <vt:variant>
        <vt:i4>5</vt:i4>
      </vt:variant>
      <vt:variant>
        <vt:lpwstr/>
      </vt:variant>
      <vt:variant>
        <vt:lpwstr>_Toc292469270</vt:lpwstr>
      </vt:variant>
      <vt:variant>
        <vt:i4>1376308</vt:i4>
      </vt:variant>
      <vt:variant>
        <vt:i4>263</vt:i4>
      </vt:variant>
      <vt:variant>
        <vt:i4>0</vt:i4>
      </vt:variant>
      <vt:variant>
        <vt:i4>5</vt:i4>
      </vt:variant>
      <vt:variant>
        <vt:lpwstr/>
      </vt:variant>
      <vt:variant>
        <vt:lpwstr>_Toc292469269</vt:lpwstr>
      </vt:variant>
      <vt:variant>
        <vt:i4>1376308</vt:i4>
      </vt:variant>
      <vt:variant>
        <vt:i4>257</vt:i4>
      </vt:variant>
      <vt:variant>
        <vt:i4>0</vt:i4>
      </vt:variant>
      <vt:variant>
        <vt:i4>5</vt:i4>
      </vt:variant>
      <vt:variant>
        <vt:lpwstr/>
      </vt:variant>
      <vt:variant>
        <vt:lpwstr>_Toc292469268</vt:lpwstr>
      </vt:variant>
      <vt:variant>
        <vt:i4>1376308</vt:i4>
      </vt:variant>
      <vt:variant>
        <vt:i4>251</vt:i4>
      </vt:variant>
      <vt:variant>
        <vt:i4>0</vt:i4>
      </vt:variant>
      <vt:variant>
        <vt:i4>5</vt:i4>
      </vt:variant>
      <vt:variant>
        <vt:lpwstr/>
      </vt:variant>
      <vt:variant>
        <vt:lpwstr>_Toc292469267</vt:lpwstr>
      </vt:variant>
      <vt:variant>
        <vt:i4>1376308</vt:i4>
      </vt:variant>
      <vt:variant>
        <vt:i4>245</vt:i4>
      </vt:variant>
      <vt:variant>
        <vt:i4>0</vt:i4>
      </vt:variant>
      <vt:variant>
        <vt:i4>5</vt:i4>
      </vt:variant>
      <vt:variant>
        <vt:lpwstr/>
      </vt:variant>
      <vt:variant>
        <vt:lpwstr>_Toc292469266</vt:lpwstr>
      </vt:variant>
      <vt:variant>
        <vt:i4>1376308</vt:i4>
      </vt:variant>
      <vt:variant>
        <vt:i4>239</vt:i4>
      </vt:variant>
      <vt:variant>
        <vt:i4>0</vt:i4>
      </vt:variant>
      <vt:variant>
        <vt:i4>5</vt:i4>
      </vt:variant>
      <vt:variant>
        <vt:lpwstr/>
      </vt:variant>
      <vt:variant>
        <vt:lpwstr>_Toc292469265</vt:lpwstr>
      </vt:variant>
      <vt:variant>
        <vt:i4>1376308</vt:i4>
      </vt:variant>
      <vt:variant>
        <vt:i4>233</vt:i4>
      </vt:variant>
      <vt:variant>
        <vt:i4>0</vt:i4>
      </vt:variant>
      <vt:variant>
        <vt:i4>5</vt:i4>
      </vt:variant>
      <vt:variant>
        <vt:lpwstr/>
      </vt:variant>
      <vt:variant>
        <vt:lpwstr>_Toc292469264</vt:lpwstr>
      </vt:variant>
      <vt:variant>
        <vt:i4>1376308</vt:i4>
      </vt:variant>
      <vt:variant>
        <vt:i4>227</vt:i4>
      </vt:variant>
      <vt:variant>
        <vt:i4>0</vt:i4>
      </vt:variant>
      <vt:variant>
        <vt:i4>5</vt:i4>
      </vt:variant>
      <vt:variant>
        <vt:lpwstr/>
      </vt:variant>
      <vt:variant>
        <vt:lpwstr>_Toc292469263</vt:lpwstr>
      </vt:variant>
      <vt:variant>
        <vt:i4>1376308</vt:i4>
      </vt:variant>
      <vt:variant>
        <vt:i4>221</vt:i4>
      </vt:variant>
      <vt:variant>
        <vt:i4>0</vt:i4>
      </vt:variant>
      <vt:variant>
        <vt:i4>5</vt:i4>
      </vt:variant>
      <vt:variant>
        <vt:lpwstr/>
      </vt:variant>
      <vt:variant>
        <vt:lpwstr>_Toc292469262</vt:lpwstr>
      </vt:variant>
      <vt:variant>
        <vt:i4>1376308</vt:i4>
      </vt:variant>
      <vt:variant>
        <vt:i4>215</vt:i4>
      </vt:variant>
      <vt:variant>
        <vt:i4>0</vt:i4>
      </vt:variant>
      <vt:variant>
        <vt:i4>5</vt:i4>
      </vt:variant>
      <vt:variant>
        <vt:lpwstr/>
      </vt:variant>
      <vt:variant>
        <vt:lpwstr>_Toc292469261</vt:lpwstr>
      </vt:variant>
      <vt:variant>
        <vt:i4>1376308</vt:i4>
      </vt:variant>
      <vt:variant>
        <vt:i4>209</vt:i4>
      </vt:variant>
      <vt:variant>
        <vt:i4>0</vt:i4>
      </vt:variant>
      <vt:variant>
        <vt:i4>5</vt:i4>
      </vt:variant>
      <vt:variant>
        <vt:lpwstr/>
      </vt:variant>
      <vt:variant>
        <vt:lpwstr>_Toc292469260</vt:lpwstr>
      </vt:variant>
      <vt:variant>
        <vt:i4>1441844</vt:i4>
      </vt:variant>
      <vt:variant>
        <vt:i4>203</vt:i4>
      </vt:variant>
      <vt:variant>
        <vt:i4>0</vt:i4>
      </vt:variant>
      <vt:variant>
        <vt:i4>5</vt:i4>
      </vt:variant>
      <vt:variant>
        <vt:lpwstr/>
      </vt:variant>
      <vt:variant>
        <vt:lpwstr>_Toc292469259</vt:lpwstr>
      </vt:variant>
      <vt:variant>
        <vt:i4>1441844</vt:i4>
      </vt:variant>
      <vt:variant>
        <vt:i4>197</vt:i4>
      </vt:variant>
      <vt:variant>
        <vt:i4>0</vt:i4>
      </vt:variant>
      <vt:variant>
        <vt:i4>5</vt:i4>
      </vt:variant>
      <vt:variant>
        <vt:lpwstr/>
      </vt:variant>
      <vt:variant>
        <vt:lpwstr>_Toc292469258</vt:lpwstr>
      </vt:variant>
      <vt:variant>
        <vt:i4>1441844</vt:i4>
      </vt:variant>
      <vt:variant>
        <vt:i4>191</vt:i4>
      </vt:variant>
      <vt:variant>
        <vt:i4>0</vt:i4>
      </vt:variant>
      <vt:variant>
        <vt:i4>5</vt:i4>
      </vt:variant>
      <vt:variant>
        <vt:lpwstr/>
      </vt:variant>
      <vt:variant>
        <vt:lpwstr>_Toc292469257</vt:lpwstr>
      </vt:variant>
      <vt:variant>
        <vt:i4>1441844</vt:i4>
      </vt:variant>
      <vt:variant>
        <vt:i4>185</vt:i4>
      </vt:variant>
      <vt:variant>
        <vt:i4>0</vt:i4>
      </vt:variant>
      <vt:variant>
        <vt:i4>5</vt:i4>
      </vt:variant>
      <vt:variant>
        <vt:lpwstr/>
      </vt:variant>
      <vt:variant>
        <vt:lpwstr>_Toc292469256</vt:lpwstr>
      </vt:variant>
      <vt:variant>
        <vt:i4>1441844</vt:i4>
      </vt:variant>
      <vt:variant>
        <vt:i4>179</vt:i4>
      </vt:variant>
      <vt:variant>
        <vt:i4>0</vt:i4>
      </vt:variant>
      <vt:variant>
        <vt:i4>5</vt:i4>
      </vt:variant>
      <vt:variant>
        <vt:lpwstr/>
      </vt:variant>
      <vt:variant>
        <vt:lpwstr>_Toc292469255</vt:lpwstr>
      </vt:variant>
      <vt:variant>
        <vt:i4>1441844</vt:i4>
      </vt:variant>
      <vt:variant>
        <vt:i4>173</vt:i4>
      </vt:variant>
      <vt:variant>
        <vt:i4>0</vt:i4>
      </vt:variant>
      <vt:variant>
        <vt:i4>5</vt:i4>
      </vt:variant>
      <vt:variant>
        <vt:lpwstr/>
      </vt:variant>
      <vt:variant>
        <vt:lpwstr>_Toc292469254</vt:lpwstr>
      </vt:variant>
      <vt:variant>
        <vt:i4>1441844</vt:i4>
      </vt:variant>
      <vt:variant>
        <vt:i4>167</vt:i4>
      </vt:variant>
      <vt:variant>
        <vt:i4>0</vt:i4>
      </vt:variant>
      <vt:variant>
        <vt:i4>5</vt:i4>
      </vt:variant>
      <vt:variant>
        <vt:lpwstr/>
      </vt:variant>
      <vt:variant>
        <vt:lpwstr>_Toc292469253</vt:lpwstr>
      </vt:variant>
      <vt:variant>
        <vt:i4>1441844</vt:i4>
      </vt:variant>
      <vt:variant>
        <vt:i4>161</vt:i4>
      </vt:variant>
      <vt:variant>
        <vt:i4>0</vt:i4>
      </vt:variant>
      <vt:variant>
        <vt:i4>5</vt:i4>
      </vt:variant>
      <vt:variant>
        <vt:lpwstr/>
      </vt:variant>
      <vt:variant>
        <vt:lpwstr>_Toc292469252</vt:lpwstr>
      </vt:variant>
      <vt:variant>
        <vt:i4>1441844</vt:i4>
      </vt:variant>
      <vt:variant>
        <vt:i4>155</vt:i4>
      </vt:variant>
      <vt:variant>
        <vt:i4>0</vt:i4>
      </vt:variant>
      <vt:variant>
        <vt:i4>5</vt:i4>
      </vt:variant>
      <vt:variant>
        <vt:lpwstr/>
      </vt:variant>
      <vt:variant>
        <vt:lpwstr>_Toc292469251</vt:lpwstr>
      </vt:variant>
      <vt:variant>
        <vt:i4>1441844</vt:i4>
      </vt:variant>
      <vt:variant>
        <vt:i4>149</vt:i4>
      </vt:variant>
      <vt:variant>
        <vt:i4>0</vt:i4>
      </vt:variant>
      <vt:variant>
        <vt:i4>5</vt:i4>
      </vt:variant>
      <vt:variant>
        <vt:lpwstr/>
      </vt:variant>
      <vt:variant>
        <vt:lpwstr>_Toc292469250</vt:lpwstr>
      </vt:variant>
      <vt:variant>
        <vt:i4>1507380</vt:i4>
      </vt:variant>
      <vt:variant>
        <vt:i4>143</vt:i4>
      </vt:variant>
      <vt:variant>
        <vt:i4>0</vt:i4>
      </vt:variant>
      <vt:variant>
        <vt:i4>5</vt:i4>
      </vt:variant>
      <vt:variant>
        <vt:lpwstr/>
      </vt:variant>
      <vt:variant>
        <vt:lpwstr>_Toc292469249</vt:lpwstr>
      </vt:variant>
      <vt:variant>
        <vt:i4>1507380</vt:i4>
      </vt:variant>
      <vt:variant>
        <vt:i4>137</vt:i4>
      </vt:variant>
      <vt:variant>
        <vt:i4>0</vt:i4>
      </vt:variant>
      <vt:variant>
        <vt:i4>5</vt:i4>
      </vt:variant>
      <vt:variant>
        <vt:lpwstr/>
      </vt:variant>
      <vt:variant>
        <vt:lpwstr>_Toc292469248</vt:lpwstr>
      </vt:variant>
      <vt:variant>
        <vt:i4>1507380</vt:i4>
      </vt:variant>
      <vt:variant>
        <vt:i4>131</vt:i4>
      </vt:variant>
      <vt:variant>
        <vt:i4>0</vt:i4>
      </vt:variant>
      <vt:variant>
        <vt:i4>5</vt:i4>
      </vt:variant>
      <vt:variant>
        <vt:lpwstr/>
      </vt:variant>
      <vt:variant>
        <vt:lpwstr>_Toc292469247</vt:lpwstr>
      </vt:variant>
      <vt:variant>
        <vt:i4>1507380</vt:i4>
      </vt:variant>
      <vt:variant>
        <vt:i4>125</vt:i4>
      </vt:variant>
      <vt:variant>
        <vt:i4>0</vt:i4>
      </vt:variant>
      <vt:variant>
        <vt:i4>5</vt:i4>
      </vt:variant>
      <vt:variant>
        <vt:lpwstr/>
      </vt:variant>
      <vt:variant>
        <vt:lpwstr>_Toc292469246</vt:lpwstr>
      </vt:variant>
      <vt:variant>
        <vt:i4>1507380</vt:i4>
      </vt:variant>
      <vt:variant>
        <vt:i4>119</vt:i4>
      </vt:variant>
      <vt:variant>
        <vt:i4>0</vt:i4>
      </vt:variant>
      <vt:variant>
        <vt:i4>5</vt:i4>
      </vt:variant>
      <vt:variant>
        <vt:lpwstr/>
      </vt:variant>
      <vt:variant>
        <vt:lpwstr>_Toc292469245</vt:lpwstr>
      </vt:variant>
      <vt:variant>
        <vt:i4>1507380</vt:i4>
      </vt:variant>
      <vt:variant>
        <vt:i4>113</vt:i4>
      </vt:variant>
      <vt:variant>
        <vt:i4>0</vt:i4>
      </vt:variant>
      <vt:variant>
        <vt:i4>5</vt:i4>
      </vt:variant>
      <vt:variant>
        <vt:lpwstr/>
      </vt:variant>
      <vt:variant>
        <vt:lpwstr>_Toc292469244</vt:lpwstr>
      </vt:variant>
      <vt:variant>
        <vt:i4>1507380</vt:i4>
      </vt:variant>
      <vt:variant>
        <vt:i4>107</vt:i4>
      </vt:variant>
      <vt:variant>
        <vt:i4>0</vt:i4>
      </vt:variant>
      <vt:variant>
        <vt:i4>5</vt:i4>
      </vt:variant>
      <vt:variant>
        <vt:lpwstr/>
      </vt:variant>
      <vt:variant>
        <vt:lpwstr>_Toc292469243</vt:lpwstr>
      </vt:variant>
      <vt:variant>
        <vt:i4>1507380</vt:i4>
      </vt:variant>
      <vt:variant>
        <vt:i4>101</vt:i4>
      </vt:variant>
      <vt:variant>
        <vt:i4>0</vt:i4>
      </vt:variant>
      <vt:variant>
        <vt:i4>5</vt:i4>
      </vt:variant>
      <vt:variant>
        <vt:lpwstr/>
      </vt:variant>
      <vt:variant>
        <vt:lpwstr>_Toc292469242</vt:lpwstr>
      </vt:variant>
      <vt:variant>
        <vt:i4>1507380</vt:i4>
      </vt:variant>
      <vt:variant>
        <vt:i4>95</vt:i4>
      </vt:variant>
      <vt:variant>
        <vt:i4>0</vt:i4>
      </vt:variant>
      <vt:variant>
        <vt:i4>5</vt:i4>
      </vt:variant>
      <vt:variant>
        <vt:lpwstr/>
      </vt:variant>
      <vt:variant>
        <vt:lpwstr>_Toc292469241</vt:lpwstr>
      </vt:variant>
      <vt:variant>
        <vt:i4>1507380</vt:i4>
      </vt:variant>
      <vt:variant>
        <vt:i4>89</vt:i4>
      </vt:variant>
      <vt:variant>
        <vt:i4>0</vt:i4>
      </vt:variant>
      <vt:variant>
        <vt:i4>5</vt:i4>
      </vt:variant>
      <vt:variant>
        <vt:lpwstr/>
      </vt:variant>
      <vt:variant>
        <vt:lpwstr>_Toc292469240</vt:lpwstr>
      </vt:variant>
      <vt:variant>
        <vt:i4>1048628</vt:i4>
      </vt:variant>
      <vt:variant>
        <vt:i4>83</vt:i4>
      </vt:variant>
      <vt:variant>
        <vt:i4>0</vt:i4>
      </vt:variant>
      <vt:variant>
        <vt:i4>5</vt:i4>
      </vt:variant>
      <vt:variant>
        <vt:lpwstr/>
      </vt:variant>
      <vt:variant>
        <vt:lpwstr>_Toc292469239</vt:lpwstr>
      </vt:variant>
      <vt:variant>
        <vt:i4>1048628</vt:i4>
      </vt:variant>
      <vt:variant>
        <vt:i4>77</vt:i4>
      </vt:variant>
      <vt:variant>
        <vt:i4>0</vt:i4>
      </vt:variant>
      <vt:variant>
        <vt:i4>5</vt:i4>
      </vt:variant>
      <vt:variant>
        <vt:lpwstr/>
      </vt:variant>
      <vt:variant>
        <vt:lpwstr>_Toc292469238</vt:lpwstr>
      </vt:variant>
      <vt:variant>
        <vt:i4>1048628</vt:i4>
      </vt:variant>
      <vt:variant>
        <vt:i4>71</vt:i4>
      </vt:variant>
      <vt:variant>
        <vt:i4>0</vt:i4>
      </vt:variant>
      <vt:variant>
        <vt:i4>5</vt:i4>
      </vt:variant>
      <vt:variant>
        <vt:lpwstr/>
      </vt:variant>
      <vt:variant>
        <vt:lpwstr>_Toc292469237</vt:lpwstr>
      </vt:variant>
      <vt:variant>
        <vt:i4>1048628</vt:i4>
      </vt:variant>
      <vt:variant>
        <vt:i4>65</vt:i4>
      </vt:variant>
      <vt:variant>
        <vt:i4>0</vt:i4>
      </vt:variant>
      <vt:variant>
        <vt:i4>5</vt:i4>
      </vt:variant>
      <vt:variant>
        <vt:lpwstr/>
      </vt:variant>
      <vt:variant>
        <vt:lpwstr>_Toc292469236</vt:lpwstr>
      </vt:variant>
      <vt:variant>
        <vt:i4>1048628</vt:i4>
      </vt:variant>
      <vt:variant>
        <vt:i4>59</vt:i4>
      </vt:variant>
      <vt:variant>
        <vt:i4>0</vt:i4>
      </vt:variant>
      <vt:variant>
        <vt:i4>5</vt:i4>
      </vt:variant>
      <vt:variant>
        <vt:lpwstr/>
      </vt:variant>
      <vt:variant>
        <vt:lpwstr>_Toc292469235</vt:lpwstr>
      </vt:variant>
      <vt:variant>
        <vt:i4>1048628</vt:i4>
      </vt:variant>
      <vt:variant>
        <vt:i4>53</vt:i4>
      </vt:variant>
      <vt:variant>
        <vt:i4>0</vt:i4>
      </vt:variant>
      <vt:variant>
        <vt:i4>5</vt:i4>
      </vt:variant>
      <vt:variant>
        <vt:lpwstr/>
      </vt:variant>
      <vt:variant>
        <vt:lpwstr>_Toc292469234</vt:lpwstr>
      </vt:variant>
      <vt:variant>
        <vt:i4>1048628</vt:i4>
      </vt:variant>
      <vt:variant>
        <vt:i4>47</vt:i4>
      </vt:variant>
      <vt:variant>
        <vt:i4>0</vt:i4>
      </vt:variant>
      <vt:variant>
        <vt:i4>5</vt:i4>
      </vt:variant>
      <vt:variant>
        <vt:lpwstr/>
      </vt:variant>
      <vt:variant>
        <vt:lpwstr>_Toc292469233</vt:lpwstr>
      </vt:variant>
      <vt:variant>
        <vt:i4>1048628</vt:i4>
      </vt:variant>
      <vt:variant>
        <vt:i4>41</vt:i4>
      </vt:variant>
      <vt:variant>
        <vt:i4>0</vt:i4>
      </vt:variant>
      <vt:variant>
        <vt:i4>5</vt:i4>
      </vt:variant>
      <vt:variant>
        <vt:lpwstr/>
      </vt:variant>
      <vt:variant>
        <vt:lpwstr>_Toc292469232</vt:lpwstr>
      </vt:variant>
      <vt:variant>
        <vt:i4>1048628</vt:i4>
      </vt:variant>
      <vt:variant>
        <vt:i4>35</vt:i4>
      </vt:variant>
      <vt:variant>
        <vt:i4>0</vt:i4>
      </vt:variant>
      <vt:variant>
        <vt:i4>5</vt:i4>
      </vt:variant>
      <vt:variant>
        <vt:lpwstr/>
      </vt:variant>
      <vt:variant>
        <vt:lpwstr>_Toc292469231</vt:lpwstr>
      </vt:variant>
      <vt:variant>
        <vt:i4>1048628</vt:i4>
      </vt:variant>
      <vt:variant>
        <vt:i4>29</vt:i4>
      </vt:variant>
      <vt:variant>
        <vt:i4>0</vt:i4>
      </vt:variant>
      <vt:variant>
        <vt:i4>5</vt:i4>
      </vt:variant>
      <vt:variant>
        <vt:lpwstr/>
      </vt:variant>
      <vt:variant>
        <vt:lpwstr>_Toc292469230</vt:lpwstr>
      </vt:variant>
      <vt:variant>
        <vt:i4>1114164</vt:i4>
      </vt:variant>
      <vt:variant>
        <vt:i4>23</vt:i4>
      </vt:variant>
      <vt:variant>
        <vt:i4>0</vt:i4>
      </vt:variant>
      <vt:variant>
        <vt:i4>5</vt:i4>
      </vt:variant>
      <vt:variant>
        <vt:lpwstr/>
      </vt:variant>
      <vt:variant>
        <vt:lpwstr>_Toc292469229</vt:lpwstr>
      </vt:variant>
      <vt:variant>
        <vt:i4>1114164</vt:i4>
      </vt:variant>
      <vt:variant>
        <vt:i4>17</vt:i4>
      </vt:variant>
      <vt:variant>
        <vt:i4>0</vt:i4>
      </vt:variant>
      <vt:variant>
        <vt:i4>5</vt:i4>
      </vt:variant>
      <vt:variant>
        <vt:lpwstr/>
      </vt:variant>
      <vt:variant>
        <vt:lpwstr>_Toc292469228</vt:lpwstr>
      </vt:variant>
      <vt:variant>
        <vt:i4>7340146</vt:i4>
      </vt:variant>
      <vt:variant>
        <vt:i4>12</vt:i4>
      </vt:variant>
      <vt:variant>
        <vt:i4>0</vt:i4>
      </vt:variant>
      <vt:variant>
        <vt:i4>5</vt:i4>
      </vt:variant>
      <vt:variant>
        <vt:lpwstr/>
      </vt:variant>
      <vt:variant>
        <vt:lpwstr>AMatrix</vt:lpwstr>
      </vt:variant>
      <vt:variant>
        <vt:i4>3604543</vt:i4>
      </vt:variant>
      <vt:variant>
        <vt:i4>9</vt:i4>
      </vt:variant>
      <vt:variant>
        <vt:i4>0</vt:i4>
      </vt:variant>
      <vt:variant>
        <vt:i4>5</vt:i4>
      </vt:variant>
      <vt:variant>
        <vt:lpwstr>http://www.scotland.gov.uk/input-ouput</vt:lpwstr>
      </vt:variant>
      <vt:variant>
        <vt:lpwstr/>
      </vt:variant>
      <vt:variant>
        <vt:i4>3735559</vt:i4>
      </vt:variant>
      <vt:variant>
        <vt:i4>6</vt:i4>
      </vt:variant>
      <vt:variant>
        <vt:i4>0</vt:i4>
      </vt:variant>
      <vt:variant>
        <vt:i4>5</vt:i4>
      </vt:variant>
      <vt:variant>
        <vt:lpwstr>mailto:inputoutput@scotland.gsi.gov.uk</vt:lpwstr>
      </vt:variant>
      <vt:variant>
        <vt:lpwstr/>
      </vt:variant>
      <vt:variant>
        <vt:i4>6684710</vt:i4>
      </vt:variant>
      <vt:variant>
        <vt:i4>3</vt:i4>
      </vt:variant>
      <vt:variant>
        <vt:i4>0</vt:i4>
      </vt:variant>
      <vt:variant>
        <vt:i4>5</vt:i4>
      </vt:variant>
      <vt:variant>
        <vt:lpwstr>http://www.statisticsauthority.gov.uk/</vt:lpwstr>
      </vt:variant>
      <vt:variant>
        <vt:lpwstr/>
      </vt:variant>
      <vt:variant>
        <vt:i4>7274551</vt:i4>
      </vt:variant>
      <vt:variant>
        <vt:i4>0</vt:i4>
      </vt:variant>
      <vt:variant>
        <vt:i4>0</vt:i4>
      </vt:variant>
      <vt:variant>
        <vt:i4>5</vt:i4>
      </vt:variant>
      <vt:variant>
        <vt:lpwstr>http://www.statisticsauthority.gov.uk/assessment/code-of-practice/code-of-practice-for-official-statistics.pdf</vt:lpwstr>
      </vt:variant>
      <vt:variant>
        <vt:lpwstr/>
      </vt:variant>
      <vt:variant>
        <vt:i4>8323111</vt:i4>
      </vt:variant>
      <vt:variant>
        <vt:i4>48</vt:i4>
      </vt:variant>
      <vt:variant>
        <vt:i4>0</vt:i4>
      </vt:variant>
      <vt:variant>
        <vt:i4>5</vt:i4>
      </vt:variant>
      <vt:variant>
        <vt:lpwstr>http://www.ons.gov.uk/ons/about-ons/surveys/a-z-of-surveys/annual-prodcom-survey/index.html</vt:lpwstr>
      </vt:variant>
      <vt:variant>
        <vt:lpwstr/>
      </vt:variant>
      <vt:variant>
        <vt:i4>1900634</vt:i4>
      </vt:variant>
      <vt:variant>
        <vt:i4>45</vt:i4>
      </vt:variant>
      <vt:variant>
        <vt:i4>0</vt:i4>
      </vt:variant>
      <vt:variant>
        <vt:i4>5</vt:i4>
      </vt:variant>
      <vt:variant>
        <vt:lpwstr>http://www.ons.gov.uk/ons/guide-method/surveys/list-of-surveys/survey.html?survey=Annual+Business+Survey</vt:lpwstr>
      </vt:variant>
      <vt:variant>
        <vt:lpwstr/>
      </vt:variant>
      <vt:variant>
        <vt:i4>7274619</vt:i4>
      </vt:variant>
      <vt:variant>
        <vt:i4>42</vt:i4>
      </vt:variant>
      <vt:variant>
        <vt:i4>0</vt:i4>
      </vt:variant>
      <vt:variant>
        <vt:i4>5</vt:i4>
      </vt:variant>
      <vt:variant>
        <vt:lpwstr>https://www.nomisweb.co.uk/Default.asp</vt:lpwstr>
      </vt:variant>
      <vt:variant>
        <vt:lpwstr/>
      </vt:variant>
      <vt:variant>
        <vt:i4>2293863</vt:i4>
      </vt:variant>
      <vt:variant>
        <vt:i4>39</vt:i4>
      </vt:variant>
      <vt:variant>
        <vt:i4>0</vt:i4>
      </vt:variant>
      <vt:variant>
        <vt:i4>5</vt:i4>
      </vt:variant>
      <vt:variant>
        <vt:lpwstr>http://www.scotland.gov.uk/snap</vt:lpwstr>
      </vt:variant>
      <vt:variant>
        <vt:lpwstr/>
      </vt:variant>
      <vt:variant>
        <vt:i4>589884</vt:i4>
      </vt:variant>
      <vt:variant>
        <vt:i4>36</vt:i4>
      </vt:variant>
      <vt:variant>
        <vt:i4>0</vt:i4>
      </vt:variant>
      <vt:variant>
        <vt:i4>5</vt:i4>
      </vt:variant>
      <vt:variant>
        <vt:lpwstr>http://epp.eurostat.ec.europa.eu/cache/ITY_OFFPUB/KS-RA-07-013/EN/KS-RA-07-013-EN.PDF</vt:lpwstr>
      </vt:variant>
      <vt:variant>
        <vt:lpwstr/>
      </vt:variant>
      <vt:variant>
        <vt:i4>1572950</vt:i4>
      </vt:variant>
      <vt:variant>
        <vt:i4>33</vt:i4>
      </vt:variant>
      <vt:variant>
        <vt:i4>0</vt:i4>
      </vt:variant>
      <vt:variant>
        <vt:i4>5</vt:i4>
      </vt:variant>
      <vt:variant>
        <vt:lpwstr>http://www.scotland.gov.uk/Topics/Statistics/Browse/Economy/GERS</vt:lpwstr>
      </vt:variant>
      <vt:variant>
        <vt:lpwstr/>
      </vt:variant>
      <vt:variant>
        <vt:i4>6553696</vt:i4>
      </vt:variant>
      <vt:variant>
        <vt:i4>30</vt:i4>
      </vt:variant>
      <vt:variant>
        <vt:i4>0</vt:i4>
      </vt:variant>
      <vt:variant>
        <vt:i4>5</vt:i4>
      </vt:variant>
      <vt:variant>
        <vt:lpwstr>http://www.scotland.gov.uk/Topics/Statistics/Browse/Economy/ScotStat/comms</vt:lpwstr>
      </vt:variant>
      <vt:variant>
        <vt:lpwstr/>
      </vt:variant>
      <vt:variant>
        <vt:i4>5505030</vt:i4>
      </vt:variant>
      <vt:variant>
        <vt:i4>27</vt:i4>
      </vt:variant>
      <vt:variant>
        <vt:i4>0</vt:i4>
      </vt:variant>
      <vt:variant>
        <vt:i4>5</vt:i4>
      </vt:variant>
      <vt:variant>
        <vt:lpwstr>http://www.ons.gov.uk/ons/taxonomy/index.html?nscl=Regional+Accounts</vt:lpwstr>
      </vt:variant>
      <vt:variant>
        <vt:lpwstr/>
      </vt:variant>
      <vt:variant>
        <vt:i4>3997745</vt:i4>
      </vt:variant>
      <vt:variant>
        <vt:i4>24</vt:i4>
      </vt:variant>
      <vt:variant>
        <vt:i4>0</vt:i4>
      </vt:variant>
      <vt:variant>
        <vt:i4>5</vt:i4>
      </vt:variant>
      <vt:variant>
        <vt:lpwstr>http://www.scotland.gov.uk/Topics/Statistics/Browse/Economy/Exports/GCSIntroduction</vt:lpwstr>
      </vt:variant>
      <vt:variant>
        <vt:lpwstr/>
      </vt:variant>
      <vt:variant>
        <vt:i4>6225940</vt:i4>
      </vt:variant>
      <vt:variant>
        <vt:i4>21</vt:i4>
      </vt:variant>
      <vt:variant>
        <vt:i4>0</vt:i4>
      </vt:variant>
      <vt:variant>
        <vt:i4>5</vt:i4>
      </vt:variant>
      <vt:variant>
        <vt:lpwstr>http://www.ons.gov.uk/ons/guide-method/method-quality/specific/economy/input-output--uk-national-accounts/latest-i-o-data/index.html</vt:lpwstr>
      </vt:variant>
      <vt:variant>
        <vt:lpwstr/>
      </vt:variant>
      <vt:variant>
        <vt:i4>2293863</vt:i4>
      </vt:variant>
      <vt:variant>
        <vt:i4>18</vt:i4>
      </vt:variant>
      <vt:variant>
        <vt:i4>0</vt:i4>
      </vt:variant>
      <vt:variant>
        <vt:i4>5</vt:i4>
      </vt:variant>
      <vt:variant>
        <vt:lpwstr>http://www.scotland.gov.uk/snap</vt:lpwstr>
      </vt:variant>
      <vt:variant>
        <vt:lpwstr/>
      </vt:variant>
      <vt:variant>
        <vt:i4>6160388</vt:i4>
      </vt:variant>
      <vt:variant>
        <vt:i4>15</vt:i4>
      </vt:variant>
      <vt:variant>
        <vt:i4>0</vt:i4>
      </vt:variant>
      <vt:variant>
        <vt:i4>5</vt:i4>
      </vt:variant>
      <vt:variant>
        <vt:lpwstr>http://www.ons.gov.uk/ons/guide-method/method-quality/specific/economy/input-output--uk-national-accounts/archive-data/uk-input-output-analyses--2006-edition.pdf</vt:lpwstr>
      </vt:variant>
      <vt:variant>
        <vt:lpwstr/>
      </vt:variant>
      <vt:variant>
        <vt:i4>262146</vt:i4>
      </vt:variant>
      <vt:variant>
        <vt:i4>12</vt:i4>
      </vt:variant>
      <vt:variant>
        <vt:i4>0</vt:i4>
      </vt:variant>
      <vt:variant>
        <vt:i4>5</vt:i4>
      </vt:variant>
      <vt:variant>
        <vt:lpwstr>http://epp.eurostat.ec.europa.eu/portal/page/portal/prodcom/introduction</vt:lpwstr>
      </vt:variant>
      <vt:variant>
        <vt:lpwstr/>
      </vt:variant>
      <vt:variant>
        <vt:i4>3276858</vt:i4>
      </vt:variant>
      <vt:variant>
        <vt:i4>9</vt:i4>
      </vt:variant>
      <vt:variant>
        <vt:i4>0</vt:i4>
      </vt:variant>
      <vt:variant>
        <vt:i4>5</vt:i4>
      </vt:variant>
      <vt:variant>
        <vt:lpwstr>http://www.scotland.gov.uk/input-output</vt:lpwstr>
      </vt:variant>
      <vt:variant>
        <vt:lpwstr/>
      </vt:variant>
      <vt:variant>
        <vt:i4>3276858</vt:i4>
      </vt:variant>
      <vt:variant>
        <vt:i4>6</vt:i4>
      </vt:variant>
      <vt:variant>
        <vt:i4>0</vt:i4>
      </vt:variant>
      <vt:variant>
        <vt:i4>5</vt:i4>
      </vt:variant>
      <vt:variant>
        <vt:lpwstr>http://www.scotland.gov.uk/input-output</vt:lpwstr>
      </vt:variant>
      <vt:variant>
        <vt:lpwstr/>
      </vt:variant>
      <vt:variant>
        <vt:i4>3276858</vt:i4>
      </vt:variant>
      <vt:variant>
        <vt:i4>3</vt:i4>
      </vt:variant>
      <vt:variant>
        <vt:i4>0</vt:i4>
      </vt:variant>
      <vt:variant>
        <vt:i4>5</vt:i4>
      </vt:variant>
      <vt:variant>
        <vt:lpwstr>http://www.scotland.gov.uk/input-output</vt:lpwstr>
      </vt:variant>
      <vt:variant>
        <vt:lpwstr/>
      </vt:variant>
      <vt:variant>
        <vt:i4>6160388</vt:i4>
      </vt:variant>
      <vt:variant>
        <vt:i4>0</vt:i4>
      </vt:variant>
      <vt:variant>
        <vt:i4>0</vt:i4>
      </vt:variant>
      <vt:variant>
        <vt:i4>5</vt:i4>
      </vt:variant>
      <vt:variant>
        <vt:lpwstr>http://www.ons.gov.uk/ons/guide-method/method-quality/specific/economy/input-output--uk-national-accounts/archive-data/uk-input-output-analyses--2006-edition.pdf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Overview of the Input-Output tables</dc:title>
  <dc:creator>Gary Campbell;Stevan Croasdale;Ken O'Neill</dc:creator>
  <cp:lastModifiedBy>Stevan</cp:lastModifiedBy>
  <cp:revision>5</cp:revision>
  <cp:lastPrinted>2017-07-25T15:40:00Z</cp:lastPrinted>
  <dcterms:created xsi:type="dcterms:W3CDTF">2017-09-25T13:29:00Z</dcterms:created>
  <dcterms:modified xsi:type="dcterms:W3CDTF">2017-10-30T14:32:00Z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A12118071</vt:lpwstr>
  </property>
  <property fmtid="{D5CDD505-2E9C-101B-9397-08002B2CF9AE}" pid="3" name="Objective-Comment">
    <vt:lpwstr>
    </vt:lpwstr>
  </property>
  <property fmtid="{D5CDD505-2E9C-101B-9397-08002B2CF9AE}" pid="4" name="Objective-CreationStamp">
    <vt:filetime>2015-09-07T12:17:29Z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2015-09-07T12:51:27Z</vt:filetime>
  </property>
  <property fmtid="{D5CDD505-2E9C-101B-9397-08002B2CF9AE}" pid="8" name="Objective-ModificationStamp">
    <vt:filetime>2015-09-07T12:51:50Z</vt:filetime>
  </property>
  <property fmtid="{D5CDD505-2E9C-101B-9397-08002B2CF9AE}" pid="9" name="Objective-Owner">
    <vt:lpwstr>Croasdale, Stevan S (U202108)</vt:lpwstr>
  </property>
  <property fmtid="{D5CDD505-2E9C-101B-9397-08002B2CF9AE}" pid="10" name="Objective-Path">
    <vt:lpwstr>Objective Global Folder:SG File Plan:Economics and finance:UK economy:Scottish economy:Research and analysis: Scottish economy:Scottish Input-Output (I-O) Statistics: Administration: 2005-2010:</vt:lpwstr>
  </property>
  <property fmtid="{D5CDD505-2E9C-101B-9397-08002B2CF9AE}" pid="11" name="Objective-Parent">
    <vt:lpwstr>Scottish Input-Output (I-O) Statistics: Administration: 2005-2010</vt:lpwstr>
  </property>
  <property fmtid="{D5CDD505-2E9C-101B-9397-08002B2CF9AE}" pid="12" name="Objective-State">
    <vt:lpwstr>Published</vt:lpwstr>
  </property>
  <property fmtid="{D5CDD505-2E9C-101B-9397-08002B2CF9AE}" pid="13" name="Objective-Title">
    <vt:lpwstr>Admin \ UKSA Assesssment \ 2015 \ 05 Supply-Use tables methodology v2 - 1998-2012 - Final for publication</vt:lpwstr>
  </property>
  <property fmtid="{D5CDD505-2E9C-101B-9397-08002B2CF9AE}" pid="14" name="Objective-Version">
    <vt:lpwstr>2.0</vt:lpwstr>
  </property>
  <property fmtid="{D5CDD505-2E9C-101B-9397-08002B2CF9AE}" pid="15" name="Objective-VersionComment">
    <vt:lpwstr>
    </vt:lpwstr>
  </property>
  <property fmtid="{D5CDD505-2E9C-101B-9397-08002B2CF9AE}" pid="16" name="Objective-VersionNumber">
    <vt:r8>2</vt:r8>
  </property>
  <property fmtid="{D5CDD505-2E9C-101B-9397-08002B2CF9AE}" pid="17" name="Objective-FileNumber">
    <vt:lpwstr>
    </vt:lpwstr>
  </property>
  <property fmtid="{D5CDD505-2E9C-101B-9397-08002B2CF9AE}" pid="18" name="Objective-Classification">
    <vt:lpwstr>[Inherited - Restricted]</vt:lpwstr>
  </property>
  <property fmtid="{D5CDD505-2E9C-101B-9397-08002B2CF9AE}" pid="19" name="Objective-Caveats">
    <vt:lpwstr>
    </vt:lpwstr>
  </property>
  <property fmtid="{D5CDD505-2E9C-101B-9397-08002B2CF9AE}" pid="20" name="Objective-Date of Original [system]">
    <vt:lpwstr>
    </vt:lpwstr>
  </property>
  <property fmtid="{D5CDD505-2E9C-101B-9397-08002B2CF9AE}" pid="21" name="Objective-Date Received [system]">
    <vt:lpwstr>
    </vt:lpwstr>
  </property>
  <property fmtid="{D5CDD505-2E9C-101B-9397-08002B2CF9AE}" pid="22" name="Objective-SG Web Publication - Category [system]">
    <vt:lpwstr>
    </vt:lpwstr>
  </property>
  <property fmtid="{D5CDD505-2E9C-101B-9397-08002B2CF9AE}" pid="23" name="Objective-SG Web Publication - Category 2 Classification [system]">
    <vt:lpwstr>
    </vt:lpwstr>
  </property>
  <property fmtid="{D5CDD505-2E9C-101B-9397-08002B2CF9AE}" pid="24" name="Objective-Description">
    <vt:lpwstr>
    </vt:lpwstr>
  </property>
  <property fmtid="{D5CDD505-2E9C-101B-9397-08002B2CF9AE}" pid="25" name="Objective-VersionId">
    <vt:lpwstr>vA16647448</vt:lpwstr>
  </property>
  <property fmtid="{D5CDD505-2E9C-101B-9397-08002B2CF9AE}" pid="26" name="Objective-Date Received">
    <vt:lpwstr>
    </vt:lpwstr>
  </property>
  <property fmtid="{D5CDD505-2E9C-101B-9397-08002B2CF9AE}" pid="27" name="Objective-Date of Original">
    <vt:lpwstr>
    </vt:lpwstr>
  </property>
  <property fmtid="{D5CDD505-2E9C-101B-9397-08002B2CF9AE}" pid="28" name="Objective-SG Web Publication - Category">
    <vt:lpwstr>
    </vt:lpwstr>
  </property>
  <property fmtid="{D5CDD505-2E9C-101B-9397-08002B2CF9AE}" pid="29" name="Objective-SG Web Publication - Category 2 Classification">
    <vt:lpwstr>
    </vt:lpwstr>
  </property>
</Properties>
</file>