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CE" w:rsidRPr="001139CE" w:rsidRDefault="001139CE" w:rsidP="001139CE">
      <w:pPr>
        <w:tabs>
          <w:tab w:val="left" w:pos="720"/>
          <w:tab w:val="left" w:pos="1440"/>
          <w:tab w:val="left" w:pos="2160"/>
          <w:tab w:val="left" w:pos="2880"/>
          <w:tab w:val="left" w:pos="4680"/>
          <w:tab w:val="left" w:pos="5400"/>
          <w:tab w:val="right" w:pos="9000"/>
        </w:tabs>
        <w:spacing w:after="0" w:line="240" w:lineRule="atLeast"/>
        <w:ind w:left="-284"/>
        <w:jc w:val="both"/>
        <w:rPr>
          <w:rFonts w:ascii="Arial" w:eastAsia="Times New Roman" w:hAnsi="Arial" w:cs="Arial"/>
          <w:b/>
          <w:sz w:val="24"/>
          <w:szCs w:val="24"/>
        </w:rPr>
      </w:pPr>
      <w:bookmarkStart w:id="0" w:name="_GoBack"/>
      <w:bookmarkEnd w:id="0"/>
      <w:r w:rsidRPr="001139CE">
        <w:rPr>
          <w:rFonts w:ascii="Arial" w:eastAsia="Times New Roman" w:hAnsi="Arial" w:cs="Arial"/>
          <w:b/>
          <w:sz w:val="24"/>
          <w:szCs w:val="24"/>
        </w:rPr>
        <w:t xml:space="preserve"> RIGHT TO WORK AND IDENTITY/ QUALIFICATION CHECKS</w:t>
      </w:r>
    </w:p>
    <w:p w:rsidR="001139CE" w:rsidRPr="001139CE" w:rsidRDefault="001139CE" w:rsidP="001139CE">
      <w:pPr>
        <w:tabs>
          <w:tab w:val="left" w:pos="720"/>
          <w:tab w:val="left" w:pos="1440"/>
          <w:tab w:val="left" w:pos="2160"/>
          <w:tab w:val="left" w:pos="2880"/>
          <w:tab w:val="left" w:pos="4680"/>
          <w:tab w:val="left" w:pos="5400"/>
          <w:tab w:val="right" w:pos="9000"/>
        </w:tabs>
        <w:spacing w:after="0" w:line="240" w:lineRule="atLeast"/>
        <w:ind w:left="-284"/>
        <w:jc w:val="both"/>
        <w:rPr>
          <w:rFonts w:ascii="Arial" w:eastAsia="Times New Roman" w:hAnsi="Arial" w:cs="Arial"/>
          <w:b/>
          <w:sz w:val="24"/>
          <w:szCs w:val="24"/>
        </w:rPr>
      </w:pPr>
    </w:p>
    <w:p w:rsidR="001139CE" w:rsidRPr="001139CE" w:rsidRDefault="001139CE" w:rsidP="001139CE">
      <w:pPr>
        <w:autoSpaceDE w:val="0"/>
        <w:autoSpaceDN w:val="0"/>
        <w:adjustRightInd w:val="0"/>
        <w:spacing w:after="0" w:line="240" w:lineRule="auto"/>
        <w:jc w:val="both"/>
        <w:rPr>
          <w:rFonts w:ascii="Clan-Bold" w:hAnsi="Clan-Bold" w:cs="Clan-Bold"/>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r w:rsidRPr="001139CE">
        <w:rPr>
          <w:rFonts w:ascii="Arial" w:hAnsi="Arial" w:cs="Arial"/>
          <w:b/>
          <w:bCs/>
          <w:sz w:val="24"/>
          <w:szCs w:val="24"/>
          <w:lang w:eastAsia="en-GB"/>
        </w:rPr>
        <w:t>Verification of Identity</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1.</w:t>
      </w:r>
      <w:r w:rsidRPr="001139CE">
        <w:rPr>
          <w:rFonts w:ascii="Arial" w:hAnsi="Arial" w:cs="Arial"/>
          <w:color w:val="231F20"/>
          <w:sz w:val="24"/>
          <w:szCs w:val="24"/>
          <w:lang w:eastAsia="en-GB"/>
        </w:rPr>
        <w:t xml:space="preserve"> It is vital that the identity of an individual is reliably verified before they are engaged in work. Verification of identity checks are designed to:</w:t>
      </w:r>
    </w:p>
    <w:p w:rsidR="001139CE" w:rsidRPr="001139CE" w:rsidRDefault="001139CE" w:rsidP="001139CE">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Determine that the identity is genuine and relates to a</w:t>
      </w:r>
    </w:p>
    <w:p w:rsidR="001139CE" w:rsidRPr="001139CE" w:rsidRDefault="001139CE" w:rsidP="001139CE">
      <w:pPr>
        <w:autoSpaceDE w:val="0"/>
        <w:autoSpaceDN w:val="0"/>
        <w:adjustRightInd w:val="0"/>
        <w:spacing w:after="0" w:line="240" w:lineRule="auto"/>
        <w:ind w:left="780"/>
        <w:contextualSpacing/>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real</w:t>
      </w:r>
      <w:proofErr w:type="gramEnd"/>
      <w:r w:rsidRPr="001139CE">
        <w:rPr>
          <w:rFonts w:ascii="Arial" w:hAnsi="Arial" w:cs="Arial"/>
          <w:color w:val="231F20"/>
          <w:sz w:val="24"/>
          <w:szCs w:val="24"/>
          <w:lang w:eastAsia="en-GB"/>
        </w:rPr>
        <w:t xml:space="preserve"> person; and</w:t>
      </w:r>
    </w:p>
    <w:p w:rsidR="001139CE" w:rsidRPr="001139CE" w:rsidRDefault="001139CE" w:rsidP="001139CE">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Establish that the individual owns and is rightfully using that identity.</w:t>
      </w:r>
    </w:p>
    <w:p w:rsidR="001139CE" w:rsidRPr="001139CE" w:rsidRDefault="001139CE" w:rsidP="001139CE">
      <w:pPr>
        <w:autoSpaceDE w:val="0"/>
        <w:autoSpaceDN w:val="0"/>
        <w:adjustRightInd w:val="0"/>
        <w:spacing w:after="0" w:line="240" w:lineRule="auto"/>
        <w:ind w:left="780"/>
        <w:contextualSpacing/>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2. </w:t>
      </w:r>
      <w:r w:rsidRPr="001139CE">
        <w:rPr>
          <w:rFonts w:ascii="Arial" w:hAnsi="Arial" w:cs="Arial"/>
          <w:color w:val="231F20"/>
          <w:sz w:val="24"/>
          <w:szCs w:val="24"/>
          <w:lang w:eastAsia="en-GB"/>
        </w:rPr>
        <w:t>Individuals will need to provide either of these two combinations:</w:t>
      </w:r>
    </w:p>
    <w:p w:rsidR="001139CE" w:rsidRPr="001139CE" w:rsidRDefault="001139CE" w:rsidP="001139CE">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Two forms of photographic personal identification and one document confirming their address; or</w:t>
      </w:r>
    </w:p>
    <w:p w:rsidR="001139CE" w:rsidRPr="001139CE" w:rsidRDefault="001139CE" w:rsidP="001139CE">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One form of photographic personal identification and two documents confirming their address.</w:t>
      </w:r>
    </w:p>
    <w:p w:rsidR="001139CE" w:rsidRPr="001139CE" w:rsidRDefault="001139CE" w:rsidP="001139CE">
      <w:pPr>
        <w:autoSpaceDE w:val="0"/>
        <w:autoSpaceDN w:val="0"/>
        <w:adjustRightInd w:val="0"/>
        <w:spacing w:after="0" w:line="240" w:lineRule="auto"/>
        <w:ind w:left="780"/>
        <w:contextualSpacing/>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3. </w:t>
      </w:r>
      <w:r w:rsidRPr="001139CE">
        <w:rPr>
          <w:rFonts w:ascii="Arial" w:hAnsi="Arial" w:cs="Arial"/>
          <w:color w:val="231F20"/>
          <w:sz w:val="24"/>
          <w:szCs w:val="24"/>
          <w:lang w:eastAsia="en-GB"/>
        </w:rPr>
        <w:t>If an individual seems genuinely unable to provide any acceptable photographic personal identification, then each of the following should be requested:</w:t>
      </w:r>
    </w:p>
    <w:p w:rsidR="001139CE" w:rsidRPr="001139CE" w:rsidRDefault="001139CE" w:rsidP="001139CE">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Two forms of non-photographic personal identification;</w:t>
      </w:r>
    </w:p>
    <w:p w:rsidR="001139CE" w:rsidRPr="001139CE" w:rsidRDefault="001139CE" w:rsidP="001139CE">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Two documents confirming their address; and</w:t>
      </w:r>
    </w:p>
    <w:p w:rsidR="001139CE" w:rsidRPr="001139CE" w:rsidRDefault="001139CE" w:rsidP="001139CE">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A passport-sized photograph of themselves.</w:t>
      </w:r>
    </w:p>
    <w:p w:rsidR="001139CE" w:rsidRPr="001139CE" w:rsidRDefault="001139CE" w:rsidP="001139CE">
      <w:pPr>
        <w:autoSpaceDE w:val="0"/>
        <w:autoSpaceDN w:val="0"/>
        <w:adjustRightInd w:val="0"/>
        <w:spacing w:after="0" w:line="240" w:lineRule="auto"/>
        <w:ind w:left="720"/>
        <w:contextualSpacing/>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 xml:space="preserve">All documents must be from a different source. In order to prove the identity of the individual, photographs must be endorsed by someone who works in (or is retired from) a recognised profession or be a person of good standing in their community (see </w:t>
      </w:r>
      <w:r w:rsidRPr="001139CE">
        <w:rPr>
          <w:rFonts w:ascii="Arial" w:hAnsi="Arial" w:cs="Arial"/>
          <w:color w:val="008CD2"/>
          <w:sz w:val="24"/>
          <w:szCs w:val="24"/>
          <w:lang w:eastAsia="en-GB"/>
        </w:rPr>
        <w:t xml:space="preserve">https://www.gov.uk/countersigningpassport-applications </w:t>
      </w:r>
      <w:r w:rsidRPr="001139CE">
        <w:rPr>
          <w:rFonts w:ascii="Arial" w:hAnsi="Arial" w:cs="Arial"/>
          <w:color w:val="231F20"/>
          <w:sz w:val="24"/>
          <w:szCs w:val="24"/>
          <w:lang w:eastAsia="en-GB"/>
        </w:rPr>
        <w:t xml:space="preserve">for examples). </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They cannot be closely related to or involved with the person applying, they must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have</w:t>
      </w:r>
      <w:proofErr w:type="gramEnd"/>
      <w:r w:rsidRPr="001139CE">
        <w:rPr>
          <w:rFonts w:ascii="Arial" w:hAnsi="Arial" w:cs="Arial"/>
          <w:color w:val="231F20"/>
          <w:sz w:val="24"/>
          <w:szCs w:val="24"/>
          <w:lang w:eastAsia="en-GB"/>
        </w:rPr>
        <w:t xml:space="preserve"> known the person concerned for at least two years and they must be in a position to be able to identify them. They should write on the back of the photograph ‘I certify that this is a true likeness of [title and full name]’ and add their signature and the date. </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They should also provide a separate signed statement confirming that they have known the individual for more than two years and that the individual is who they claim to be. Always check that the signature on the statement matches with the one on the back of the photograph and that it contains a legible name, address and telephone number. It is good practice to contact the signatory to authenticate the details of the statement.)</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4. </w:t>
      </w:r>
      <w:r w:rsidRPr="001139CE">
        <w:rPr>
          <w:rFonts w:ascii="Arial" w:hAnsi="Arial" w:cs="Arial"/>
          <w:color w:val="231F20"/>
          <w:sz w:val="24"/>
          <w:szCs w:val="24"/>
          <w:lang w:eastAsia="en-GB"/>
        </w:rPr>
        <w:t>Lists of acceptable photographic and non-photographic personal identification and documents for confirming</w:t>
      </w:r>
      <w:r w:rsidRPr="001139CE">
        <w:rPr>
          <w:rFonts w:ascii="Arial" w:hAnsi="Arial" w:cs="Arial"/>
          <w:b/>
          <w:bCs/>
          <w:color w:val="584842"/>
          <w:sz w:val="24"/>
          <w:szCs w:val="24"/>
          <w:lang w:eastAsia="en-GB"/>
        </w:rPr>
        <w:t xml:space="preserve"> </w:t>
      </w:r>
      <w:r w:rsidRPr="001139CE">
        <w:rPr>
          <w:rFonts w:ascii="Arial" w:hAnsi="Arial" w:cs="Arial"/>
          <w:color w:val="231F20"/>
          <w:sz w:val="24"/>
          <w:szCs w:val="24"/>
          <w:lang w:eastAsia="en-GB"/>
        </w:rPr>
        <w:t>address are provided at Appendix 2 (Annex B).</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5.</w:t>
      </w:r>
      <w:r w:rsidRPr="001139CE">
        <w:rPr>
          <w:rFonts w:ascii="Arial" w:hAnsi="Arial" w:cs="Arial"/>
          <w:color w:val="231F20"/>
          <w:sz w:val="24"/>
          <w:szCs w:val="24"/>
          <w:lang w:eastAsia="en-GB"/>
        </w:rPr>
        <w:t xml:space="preserve"> </w:t>
      </w:r>
      <w:r w:rsidRPr="001139CE">
        <w:rPr>
          <w:rFonts w:ascii="Arial" w:hAnsi="Arial" w:cs="Arial"/>
          <w:b/>
          <w:bCs/>
          <w:color w:val="584842"/>
          <w:sz w:val="24"/>
          <w:szCs w:val="24"/>
          <w:lang w:eastAsia="en-GB"/>
        </w:rPr>
        <w:t xml:space="preserve"> </w:t>
      </w:r>
      <w:r w:rsidRPr="001139CE">
        <w:rPr>
          <w:rFonts w:ascii="Arial" w:hAnsi="Arial" w:cs="Arial"/>
          <w:color w:val="231F20"/>
          <w:sz w:val="24"/>
          <w:szCs w:val="24"/>
          <w:lang w:eastAsia="en-GB"/>
        </w:rPr>
        <w:t>All documents provided must be valid, current and original. Where copies of originals are provided, these must be certified by a solicitor. Documents downloaded from the internet must not be accepted.</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6.  </w:t>
      </w:r>
      <w:r w:rsidRPr="001139CE">
        <w:rPr>
          <w:rFonts w:ascii="Arial" w:hAnsi="Arial" w:cs="Arial"/>
          <w:color w:val="231F20"/>
          <w:sz w:val="24"/>
          <w:szCs w:val="24"/>
          <w:lang w:eastAsia="en-GB"/>
        </w:rPr>
        <w:t>Where identify documents are provided in a foreign language, an independently verified translation must be obtained. Identity documents of a foreign equivalent must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not</w:t>
      </w:r>
      <w:proofErr w:type="gramEnd"/>
      <w:r w:rsidRPr="001139CE">
        <w:rPr>
          <w:rFonts w:ascii="Arial" w:hAnsi="Arial" w:cs="Arial"/>
          <w:color w:val="231F20"/>
          <w:sz w:val="24"/>
          <w:szCs w:val="24"/>
          <w:lang w:eastAsia="en-GB"/>
        </w:rPr>
        <w:t xml:space="preserve"> be accepted if listed as ‘UK’ on the list of acceptable forms of identification.</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7</w:t>
      </w:r>
      <w:r w:rsidRPr="001139CE">
        <w:rPr>
          <w:rFonts w:ascii="Arial" w:hAnsi="Arial" w:cs="Arial"/>
          <w:bCs/>
          <w:color w:val="584842"/>
          <w:sz w:val="24"/>
          <w:szCs w:val="24"/>
          <w:lang w:eastAsia="en-GB"/>
        </w:rPr>
        <w:t>. Employers</w:t>
      </w:r>
      <w:r w:rsidRPr="001139CE">
        <w:rPr>
          <w:rFonts w:ascii="Arial" w:hAnsi="Arial" w:cs="Arial"/>
          <w:b/>
          <w:bCs/>
          <w:color w:val="584842"/>
          <w:sz w:val="24"/>
          <w:szCs w:val="24"/>
          <w:lang w:eastAsia="en-GB"/>
        </w:rPr>
        <w:t xml:space="preserve"> </w:t>
      </w:r>
      <w:r w:rsidRPr="001139CE">
        <w:rPr>
          <w:rFonts w:ascii="Arial" w:hAnsi="Arial" w:cs="Arial"/>
          <w:color w:val="231F20"/>
          <w:sz w:val="24"/>
          <w:szCs w:val="24"/>
          <w:lang w:eastAsia="en-GB"/>
        </w:rPr>
        <w:t>are required to check the validity of the document(s) and be satisfied that the individual is the person named in the documents presented. A face-to-face meeting is therefore an essential part of the verification process in order to match the individual with their photographic ID (ideally this should take place during the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selection</w:t>
      </w:r>
      <w:proofErr w:type="gramEnd"/>
      <w:r w:rsidRPr="001139CE">
        <w:rPr>
          <w:rFonts w:ascii="Arial" w:hAnsi="Arial" w:cs="Arial"/>
          <w:color w:val="231F20"/>
          <w:sz w:val="24"/>
          <w:szCs w:val="24"/>
          <w:lang w:eastAsia="en-GB"/>
        </w:rPr>
        <w:t xml:space="preserve"> process itself. However, if this is not possible a further face-to-face meeting would be required).</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8. </w:t>
      </w:r>
      <w:r w:rsidRPr="001139CE">
        <w:rPr>
          <w:rFonts w:ascii="Arial" w:hAnsi="Arial" w:cs="Arial"/>
          <w:color w:val="231F20"/>
          <w:sz w:val="24"/>
          <w:szCs w:val="24"/>
          <w:lang w:eastAsia="en-GB"/>
        </w:rPr>
        <w:t>Documents must not be taken at face value and employers must ensure they are checked thoroughly. They must therefore make it clear that any relevant documents will be checked for authenticity. Guidance on how to check the authenticity of documentation provided is set out at Annex C</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9. </w:t>
      </w:r>
      <w:r w:rsidRPr="001139CE">
        <w:rPr>
          <w:rFonts w:ascii="Arial" w:hAnsi="Arial" w:cs="Arial"/>
          <w:color w:val="231F20"/>
          <w:sz w:val="24"/>
          <w:szCs w:val="24"/>
          <w:lang w:eastAsia="en-GB"/>
        </w:rPr>
        <w:t>Documents should not be checked in isolation, instead being cross-referenced with other information supplied, to check an individual’s:</w:t>
      </w:r>
    </w:p>
    <w:p w:rsidR="001139CE" w:rsidRPr="001139CE" w:rsidRDefault="001139CE" w:rsidP="001139CE">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Full name – forenames and last name;</w:t>
      </w:r>
    </w:p>
    <w:p w:rsidR="001139CE" w:rsidRPr="001139CE" w:rsidRDefault="001139CE" w:rsidP="001139CE">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Signature;</w:t>
      </w:r>
    </w:p>
    <w:p w:rsidR="001139CE" w:rsidRPr="001139CE" w:rsidRDefault="001139CE" w:rsidP="001139CE">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Date of birth; and</w:t>
      </w:r>
    </w:p>
    <w:p w:rsidR="001139CE" w:rsidRPr="001139CE" w:rsidRDefault="001139CE" w:rsidP="001139CE">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Full permanent address.</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In exceptional circumstances, where checks reveal substantial misdirection, it may be appropriate to report concerns to other bodies (such as the police, Home Office Immigration Enforcement, statutory regulatory bodies and Disclosure Scotland)</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r w:rsidRPr="001139CE">
        <w:rPr>
          <w:rFonts w:ascii="Arial" w:hAnsi="Arial" w:cs="Arial"/>
          <w:b/>
          <w:bCs/>
          <w:color w:val="584842"/>
          <w:sz w:val="24"/>
          <w:szCs w:val="24"/>
          <w:lang w:eastAsia="en-GB"/>
        </w:rPr>
        <w:t>Entitlement to Work in the UK</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10. </w:t>
      </w:r>
      <w:r w:rsidRPr="001139CE">
        <w:rPr>
          <w:rFonts w:ascii="Arial" w:hAnsi="Arial" w:cs="Arial"/>
          <w:color w:val="231F20"/>
          <w:sz w:val="24"/>
          <w:szCs w:val="24"/>
          <w:lang w:eastAsia="en-GB"/>
        </w:rPr>
        <w:t>Satisfactory checks must be undertaken to verify an individual’s entitlement to work in the UK before they are engaged directly in paid work within an organisation.</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11. </w:t>
      </w:r>
      <w:r w:rsidRPr="001139CE">
        <w:rPr>
          <w:rFonts w:ascii="Arial" w:hAnsi="Arial" w:cs="Arial"/>
          <w:color w:val="231F20"/>
          <w:sz w:val="24"/>
          <w:szCs w:val="24"/>
          <w:lang w:eastAsia="en-GB"/>
        </w:rPr>
        <w:t xml:space="preserve">Some people are automatically entitled to work in the UK. Others may have restrictions on how long they can stay, whether they can work or the type of work they can do. </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12</w:t>
      </w:r>
      <w:r w:rsidRPr="001139CE">
        <w:rPr>
          <w:rFonts w:ascii="Arial" w:hAnsi="Arial" w:cs="Arial"/>
          <w:color w:val="231F20"/>
          <w:sz w:val="24"/>
          <w:szCs w:val="24"/>
          <w:lang w:eastAsia="en-GB"/>
        </w:rPr>
        <w:t xml:space="preserve">. Under the Immigration, Asylum and Nationality Act 2006, all employers in the UK have a responsibility to prevent illegal migrant working. Employers must therefore check the entitlement of everyone they plan to employ. A failure to do so may result in a </w:t>
      </w:r>
      <w:r w:rsidRPr="001139CE">
        <w:rPr>
          <w:rFonts w:ascii="Arial" w:hAnsi="Arial" w:cs="Arial"/>
          <w:b/>
          <w:sz w:val="24"/>
          <w:szCs w:val="24"/>
          <w:lang w:eastAsia="en-GB"/>
        </w:rPr>
        <w:t>civil penalty</w:t>
      </w:r>
      <w:r w:rsidRPr="001139CE">
        <w:rPr>
          <w:rFonts w:ascii="Arial" w:hAnsi="Arial" w:cs="Arial"/>
          <w:color w:val="231F20"/>
          <w:sz w:val="24"/>
          <w:szCs w:val="24"/>
          <w:lang w:eastAsia="en-GB"/>
        </w:rPr>
        <w:t>. If an employer knowingly employs an illegal migrant worker,</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they</w:t>
      </w:r>
      <w:proofErr w:type="gramEnd"/>
      <w:r w:rsidRPr="001139CE">
        <w:rPr>
          <w:rFonts w:ascii="Arial" w:hAnsi="Arial" w:cs="Arial"/>
          <w:color w:val="231F20"/>
          <w:sz w:val="24"/>
          <w:szCs w:val="24"/>
          <w:lang w:eastAsia="en-GB"/>
        </w:rPr>
        <w:t xml:space="preserve"> may face </w:t>
      </w:r>
      <w:r w:rsidRPr="001139CE">
        <w:rPr>
          <w:rFonts w:ascii="Arial" w:hAnsi="Arial" w:cs="Arial"/>
          <w:b/>
          <w:color w:val="231F20"/>
          <w:sz w:val="24"/>
          <w:szCs w:val="24"/>
          <w:lang w:eastAsia="en-GB"/>
        </w:rPr>
        <w:t>criminal prosecution</w:t>
      </w:r>
      <w:r w:rsidRPr="001139CE">
        <w:rPr>
          <w:rFonts w:ascii="Arial" w:hAnsi="Arial" w:cs="Arial"/>
          <w:color w:val="231F20"/>
          <w:sz w:val="24"/>
          <w:szCs w:val="24"/>
          <w:lang w:eastAsia="en-GB"/>
        </w:rPr>
        <w:t>, which could result in an unlimited fine and/or a maximum two-year prison sentence.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13.  </w:t>
      </w:r>
      <w:r w:rsidRPr="001139CE">
        <w:rPr>
          <w:rFonts w:ascii="Arial" w:hAnsi="Arial" w:cs="Arial"/>
          <w:color w:val="231F20"/>
          <w:sz w:val="24"/>
          <w:szCs w:val="24"/>
          <w:lang w:eastAsia="en-GB"/>
        </w:rPr>
        <w:t>Employers are not required to undertake a check on entitlement to work in the UK in relation to those placed in their organisations for work experience or for training purposes via a recognised education provider.</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14. </w:t>
      </w:r>
      <w:r w:rsidRPr="001139CE">
        <w:rPr>
          <w:rFonts w:ascii="Arial" w:hAnsi="Arial" w:cs="Arial"/>
          <w:color w:val="231F20"/>
          <w:sz w:val="24"/>
          <w:szCs w:val="24"/>
          <w:lang w:eastAsia="en-GB"/>
        </w:rPr>
        <w:t>Employers are advised to seek legal advice in relation to ‘volunteering’ arrangements within their own organisations, in order to ensure that, where these might more appropriately be defined ‘unpaid work’, they then undertake the necessary checks on entitlement to work in the UK.</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lastRenderedPageBreak/>
        <w:t xml:space="preserve">15. </w:t>
      </w:r>
      <w:r w:rsidRPr="001139CE">
        <w:rPr>
          <w:rFonts w:ascii="Arial" w:hAnsi="Arial" w:cs="Arial"/>
          <w:color w:val="231F20"/>
          <w:sz w:val="24"/>
          <w:szCs w:val="24"/>
          <w:lang w:eastAsia="en-GB"/>
        </w:rPr>
        <w:t>Employers must ask individuals to produce certain documentation to ensure that they can work for them lawfully. Such documentation should be checked and copied (in some cases original documents need to be retained) before an individual commences employment.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16.  </w:t>
      </w:r>
      <w:r w:rsidRPr="001139CE">
        <w:rPr>
          <w:rFonts w:ascii="Arial" w:hAnsi="Arial" w:cs="Arial"/>
          <w:color w:val="231F20"/>
          <w:sz w:val="24"/>
          <w:szCs w:val="24"/>
          <w:lang w:eastAsia="en-GB"/>
        </w:rPr>
        <w:t>Employers cannot assume that someone from an ethnic minority is an immigrant, nor assume that someone is British because they think that they appear to be so, and must therefore carry out such checks in all cases to avoid racial discrimination.</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17. </w:t>
      </w:r>
      <w:r w:rsidRPr="001139CE">
        <w:rPr>
          <w:rFonts w:ascii="Arial" w:hAnsi="Arial" w:cs="Arial"/>
          <w:color w:val="231F20"/>
          <w:sz w:val="24"/>
          <w:szCs w:val="24"/>
          <w:lang w:eastAsia="en-GB"/>
        </w:rPr>
        <w:t>Individuals must provide: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 xml:space="preserve">One of the original documents alone from </w:t>
      </w:r>
      <w:r w:rsidRPr="001139CE">
        <w:rPr>
          <w:rFonts w:ascii="Arial" w:hAnsi="Arial" w:cs="Arial"/>
          <w:color w:val="231F20"/>
          <w:sz w:val="24"/>
          <w:szCs w:val="24"/>
          <w:highlight w:val="yellow"/>
          <w:lang w:eastAsia="en-GB"/>
        </w:rPr>
        <w:t>List A or List B</w:t>
      </w:r>
      <w:r w:rsidRPr="001139CE">
        <w:rPr>
          <w:rFonts w:ascii="Arial" w:hAnsi="Arial" w:cs="Arial"/>
          <w:color w:val="231F20"/>
          <w:sz w:val="24"/>
          <w:szCs w:val="24"/>
          <w:lang w:eastAsia="en-GB"/>
        </w:rPr>
        <w:t xml:space="preserve">- </w:t>
      </w:r>
      <w:r w:rsidRPr="001139CE">
        <w:rPr>
          <w:rFonts w:ascii="Arial" w:hAnsi="Arial" w:cs="Arial"/>
          <w:color w:val="231F20"/>
          <w:sz w:val="24"/>
          <w:szCs w:val="24"/>
          <w:highlight w:val="yellow"/>
          <w:lang w:eastAsia="en-GB"/>
        </w:rPr>
        <w:t>need link or lists</w:t>
      </w:r>
      <w:r w:rsidRPr="001139CE">
        <w:rPr>
          <w:rFonts w:ascii="Arial" w:hAnsi="Arial" w:cs="Arial"/>
          <w:color w:val="231F20"/>
          <w:sz w:val="24"/>
          <w:szCs w:val="24"/>
          <w:lang w:eastAsia="en-GB"/>
        </w:rPr>
        <w:t>; or</w:t>
      </w:r>
    </w:p>
    <w:p w:rsidR="001139CE" w:rsidRPr="001139CE" w:rsidRDefault="001139CE" w:rsidP="001139CE">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Arial" w:hAnsi="Arial" w:cs="Arial"/>
          <w:color w:val="231F20"/>
          <w:sz w:val="24"/>
          <w:szCs w:val="24"/>
          <w:lang w:eastAsia="en-GB"/>
        </w:rPr>
      </w:pPr>
      <w:r w:rsidRPr="001139CE">
        <w:rPr>
          <w:rFonts w:ascii="Arial" w:hAnsi="Arial" w:cs="Arial"/>
          <w:color w:val="231F20"/>
          <w:sz w:val="24"/>
          <w:szCs w:val="24"/>
          <w:lang w:eastAsia="en-GB"/>
        </w:rPr>
        <w:t>Two of the original documents in the specified combinations required from List A or List B.</w:t>
      </w:r>
    </w:p>
    <w:p w:rsidR="001139CE" w:rsidRPr="001139CE" w:rsidRDefault="001139CE" w:rsidP="001139CE">
      <w:pPr>
        <w:autoSpaceDE w:val="0"/>
        <w:autoSpaceDN w:val="0"/>
        <w:adjustRightInd w:val="0"/>
        <w:spacing w:after="0" w:line="240" w:lineRule="auto"/>
        <w:ind w:left="780"/>
        <w:contextualSpacing/>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18. </w:t>
      </w:r>
      <w:r w:rsidRPr="001139CE">
        <w:rPr>
          <w:rFonts w:ascii="Arial" w:hAnsi="Arial" w:cs="Arial"/>
          <w:color w:val="231F20"/>
          <w:sz w:val="24"/>
          <w:szCs w:val="24"/>
          <w:lang w:eastAsia="en-GB"/>
        </w:rPr>
        <w:t>Documents from List A will establish a statutory excuse for the duration of an</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individual’s</w:t>
      </w:r>
      <w:proofErr w:type="gramEnd"/>
      <w:r w:rsidRPr="001139CE">
        <w:rPr>
          <w:rFonts w:ascii="Arial" w:hAnsi="Arial" w:cs="Arial"/>
          <w:color w:val="231F20"/>
          <w:sz w:val="24"/>
          <w:szCs w:val="24"/>
          <w:lang w:eastAsia="en-GB"/>
        </w:rPr>
        <w:t xml:space="preserve"> employment.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19. </w:t>
      </w:r>
      <w:r w:rsidRPr="001139CE">
        <w:rPr>
          <w:rFonts w:ascii="Arial" w:hAnsi="Arial" w:cs="Arial"/>
          <w:color w:val="231F20"/>
          <w:sz w:val="24"/>
          <w:szCs w:val="24"/>
          <w:lang w:eastAsia="en-GB"/>
        </w:rPr>
        <w:t>Documents from List B will indicate that an individual only has limited permission</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to</w:t>
      </w:r>
      <w:proofErr w:type="gramEnd"/>
      <w:r w:rsidRPr="001139CE">
        <w:rPr>
          <w:rFonts w:ascii="Arial" w:hAnsi="Arial" w:cs="Arial"/>
          <w:color w:val="231F20"/>
          <w:sz w:val="24"/>
          <w:szCs w:val="24"/>
          <w:lang w:eastAsia="en-GB"/>
        </w:rPr>
        <w:t xml:space="preserve"> be in the UK. To maintain a statutory excuse in such circumstances, repeat checks of documents from List B should be carried out </w:t>
      </w:r>
      <w:r w:rsidRPr="001139CE">
        <w:rPr>
          <w:rFonts w:ascii="Arial" w:hAnsi="Arial" w:cs="Arial"/>
          <w:b/>
          <w:color w:val="231F20"/>
          <w:sz w:val="24"/>
          <w:szCs w:val="24"/>
          <w:lang w:eastAsia="en-GB"/>
        </w:rPr>
        <w:t>at least once every 12 months</w:t>
      </w:r>
      <w:r w:rsidRPr="001139CE">
        <w:rPr>
          <w:rFonts w:ascii="Arial" w:hAnsi="Arial" w:cs="Arial"/>
          <w:color w:val="231F20"/>
          <w:sz w:val="24"/>
          <w:szCs w:val="24"/>
          <w:lang w:eastAsia="en-GB"/>
        </w:rPr>
        <w:t xml:space="preserve">. </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20</w:t>
      </w:r>
      <w:r w:rsidRPr="001139CE">
        <w:rPr>
          <w:rFonts w:ascii="Arial" w:hAnsi="Arial" w:cs="Arial"/>
          <w:color w:val="231F20"/>
          <w:sz w:val="24"/>
          <w:szCs w:val="24"/>
          <w:lang w:eastAsia="en-GB"/>
        </w:rPr>
        <w:t>. The specified steps given above should be undertaken and records kept of the date the check was carried out. This process must continue until the individual is able to provide specified documents, from List A, which indicates a right to remain and work permanently in the UK.</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21. </w:t>
      </w:r>
      <w:r w:rsidRPr="001139CE">
        <w:rPr>
          <w:rFonts w:ascii="Arial" w:hAnsi="Arial" w:cs="Arial"/>
          <w:bCs/>
          <w:color w:val="584842"/>
          <w:sz w:val="24"/>
          <w:szCs w:val="24"/>
          <w:lang w:eastAsia="en-GB"/>
        </w:rPr>
        <w:t>Employers</w:t>
      </w:r>
      <w:r w:rsidRPr="001139CE">
        <w:rPr>
          <w:rFonts w:ascii="Arial" w:hAnsi="Arial" w:cs="Arial"/>
          <w:color w:val="231F20"/>
          <w:sz w:val="24"/>
          <w:szCs w:val="24"/>
          <w:lang w:eastAsia="en-GB"/>
        </w:rPr>
        <w:t xml:space="preserve"> are required to check the validity of the document(s) and be satisfied that the individual is the person named in the documents presented, that they have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the</w:t>
      </w:r>
      <w:proofErr w:type="gramEnd"/>
      <w:r w:rsidRPr="001139CE">
        <w:rPr>
          <w:rFonts w:ascii="Arial" w:hAnsi="Arial" w:cs="Arial"/>
          <w:color w:val="231F20"/>
          <w:sz w:val="24"/>
          <w:szCs w:val="24"/>
          <w:lang w:eastAsia="en-GB"/>
        </w:rPr>
        <w:t xml:space="preserve"> necessary leave to enter (or remain) in the UK and that they are permitted to do (or continue to do) the work in question. Employers must make it clear to individuals that any relevant documents will be checked for authenticity.</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22</w:t>
      </w:r>
      <w:r w:rsidRPr="001139CE">
        <w:rPr>
          <w:rFonts w:ascii="Arial" w:hAnsi="Arial" w:cs="Arial"/>
          <w:color w:val="231F20"/>
          <w:sz w:val="24"/>
          <w:szCs w:val="24"/>
          <w:lang w:eastAsia="en-GB"/>
        </w:rPr>
        <w:t>. Guidance on how to check the validity of documentation provided is set out at Annex B. If presented with a document which is considered false or, whilst genuine, not to belong to the individual concerned, employers should report the matter to the Home Office Immigration Enforcement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23. </w:t>
      </w:r>
      <w:r w:rsidRPr="001139CE">
        <w:rPr>
          <w:rFonts w:ascii="Arial" w:hAnsi="Arial" w:cs="Arial"/>
          <w:bCs/>
          <w:color w:val="584842"/>
          <w:sz w:val="24"/>
          <w:szCs w:val="24"/>
          <w:lang w:eastAsia="en-GB"/>
        </w:rPr>
        <w:t>Organisations</w:t>
      </w:r>
      <w:r w:rsidRPr="001139CE">
        <w:rPr>
          <w:rFonts w:ascii="Arial" w:hAnsi="Arial" w:cs="Arial"/>
          <w:b/>
          <w:bCs/>
          <w:color w:val="584842"/>
          <w:sz w:val="24"/>
          <w:szCs w:val="24"/>
          <w:lang w:eastAsia="en-GB"/>
        </w:rPr>
        <w:t xml:space="preserve"> </w:t>
      </w:r>
      <w:r w:rsidRPr="001139CE">
        <w:rPr>
          <w:rFonts w:ascii="Arial" w:hAnsi="Arial" w:cs="Arial"/>
          <w:color w:val="231F20"/>
          <w:sz w:val="24"/>
          <w:szCs w:val="24"/>
          <w:lang w:eastAsia="en-GB"/>
        </w:rPr>
        <w:t>should not continue to employ an individual who is not entitled to work in the UK (although they should always first check with the Home Office Immigration Enforcement), as there may be exceptional circumstances in which employment can continue in the case of individuals awaiting a Home Office decision.</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color w:val="231F20"/>
          <w:sz w:val="24"/>
          <w:szCs w:val="24"/>
          <w:lang w:eastAsia="en-GB"/>
        </w:rPr>
        <w: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bCs/>
          <w:color w:val="584842"/>
          <w:sz w:val="24"/>
          <w:szCs w:val="24"/>
          <w:lang w:eastAsia="en-GB"/>
        </w:rPr>
        <w:t xml:space="preserve">24.  </w:t>
      </w:r>
      <w:r w:rsidRPr="001139CE">
        <w:rPr>
          <w:rFonts w:ascii="Arial" w:hAnsi="Arial" w:cs="Arial"/>
          <w:color w:val="231F20"/>
          <w:sz w:val="24"/>
          <w:szCs w:val="24"/>
          <w:lang w:eastAsia="en-GB"/>
        </w:rPr>
        <w:t xml:space="preserve">Further guidance on how to prevent illegal working, including permissible documents under List A and List B, is available from the Home Office Immigration Enforcement. Where, when checking entitlement to work in the UK, an employer suspects that they have been presented with a false document, or a genuine </w:t>
      </w:r>
      <w:r w:rsidRPr="001139CE">
        <w:rPr>
          <w:rFonts w:ascii="Arial" w:hAnsi="Arial" w:cs="Arial"/>
          <w:color w:val="231F20"/>
          <w:sz w:val="24"/>
          <w:szCs w:val="24"/>
          <w:lang w:eastAsia="en-GB"/>
        </w:rPr>
        <w:lastRenderedPageBreak/>
        <w:t xml:space="preserve">document that does not belong to the holder, the matter should be reported to the Home Office Immigration Enforcement who will be able to advise further. Include </w:t>
      </w:r>
      <w:proofErr w:type="gramStart"/>
      <w:r w:rsidRPr="001139CE">
        <w:rPr>
          <w:rFonts w:ascii="Arial" w:hAnsi="Arial" w:cs="Arial"/>
          <w:color w:val="231F20"/>
          <w:sz w:val="24"/>
          <w:szCs w:val="24"/>
          <w:highlight w:val="yellow"/>
          <w:lang w:eastAsia="en-GB"/>
        </w:rPr>
        <w:t>Checking</w:t>
      </w:r>
      <w:proofErr w:type="gramEnd"/>
      <w:r w:rsidRPr="001139CE">
        <w:rPr>
          <w:rFonts w:ascii="Arial" w:hAnsi="Arial" w:cs="Arial"/>
          <w:color w:val="231F20"/>
          <w:sz w:val="24"/>
          <w:szCs w:val="24"/>
          <w:highlight w:val="yellow"/>
          <w:lang w:eastAsia="en-GB"/>
        </w:rPr>
        <w:t xml:space="preserve"> service info?</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spacing w:after="0" w:line="240" w:lineRule="auto"/>
        <w:rPr>
          <w:rFonts w:ascii="Arial" w:eastAsiaTheme="minorHAnsi" w:hAnsi="Arial" w:cs="Arial"/>
          <w:sz w:val="24"/>
          <w:szCs w:val="24"/>
        </w:rPr>
      </w:pPr>
    </w:p>
    <w:p w:rsidR="001139CE" w:rsidRPr="001139CE" w:rsidRDefault="001139CE" w:rsidP="001139CE">
      <w:pPr>
        <w:spacing w:after="0" w:line="240" w:lineRule="auto"/>
        <w:rPr>
          <w:rFonts w:ascii="Arial" w:eastAsiaTheme="minorHAnsi" w:hAnsi="Arial" w:cs="Arial"/>
          <w:sz w:val="24"/>
          <w:szCs w:val="24"/>
        </w:rPr>
      </w:pPr>
      <w:r w:rsidRPr="001139CE">
        <w:rPr>
          <w:rFonts w:ascii="Arial" w:eastAsiaTheme="minorHAnsi" w:hAnsi="Arial" w:cs="Arial"/>
          <w:sz w:val="24"/>
          <w:szCs w:val="24"/>
        </w:rPr>
        <w:t xml:space="preserve">Full guidance for employers can be found at: </w:t>
      </w:r>
      <w:hyperlink r:id="rId6" w:history="1">
        <w:r w:rsidRPr="001139CE">
          <w:rPr>
            <w:rFonts w:ascii="Arial" w:eastAsiaTheme="minorHAnsi" w:hAnsi="Arial" w:cs="Arial"/>
            <w:color w:val="0000FF" w:themeColor="hyperlink"/>
            <w:sz w:val="24"/>
            <w:szCs w:val="24"/>
            <w:u w:val="single"/>
          </w:rPr>
          <w:t>https://www.gov.uk/government/publications/right-to-work-checks-employers-guide</w:t>
        </w:r>
      </w:hyperlink>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r w:rsidRPr="001139CE">
        <w:rPr>
          <w:rFonts w:ascii="Arial" w:hAnsi="Arial" w:cs="Arial"/>
          <w:b/>
          <w:bCs/>
          <w:color w:val="584842"/>
          <w:sz w:val="24"/>
          <w:szCs w:val="24"/>
          <w:lang w:eastAsia="en-GB"/>
        </w:rPr>
        <w:t>Migrant Workers</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25</w:t>
      </w:r>
      <w:r w:rsidRPr="001139CE">
        <w:rPr>
          <w:rFonts w:ascii="Arial" w:hAnsi="Arial" w:cs="Arial"/>
          <w:color w:val="584842"/>
          <w:sz w:val="24"/>
          <w:szCs w:val="24"/>
          <w:lang w:eastAsia="en-GB"/>
        </w:rPr>
        <w:t xml:space="preserve">.  </w:t>
      </w:r>
      <w:r w:rsidRPr="001139CE">
        <w:rPr>
          <w:rFonts w:ascii="Arial" w:hAnsi="Arial" w:cs="Arial"/>
          <w:color w:val="231F20"/>
          <w:sz w:val="24"/>
          <w:szCs w:val="24"/>
          <w:lang w:eastAsia="en-GB"/>
        </w:rPr>
        <w:t>If a prospective worker is not a British Citizen, European Economic Area (EEA) or Swiss national (settled workers), they will be subject to the points-based system in that they must pass a points assessment before they can get permission to enter or remain in the UK (although it should be noted that there are some restrictions upon</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individuals</w:t>
      </w:r>
      <w:proofErr w:type="gramEnd"/>
      <w:r w:rsidRPr="001139CE">
        <w:rPr>
          <w:rFonts w:ascii="Arial" w:hAnsi="Arial" w:cs="Arial"/>
          <w:color w:val="231F20"/>
          <w:sz w:val="24"/>
          <w:szCs w:val="24"/>
          <w:lang w:eastAsia="en-GB"/>
        </w:rPr>
        <w:t xml:space="preserve"> from countries which have recently joined the EEA). Under the points-based system, points are awarded to reflect the migrant’s ability, experience and age – and, when appropriate, the level of need in the migrant’s chosen industry. </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231F20"/>
          <w:sz w:val="24"/>
          <w:szCs w:val="24"/>
          <w:lang w:eastAsia="en-GB"/>
        </w:rPr>
        <w:t>26.</w:t>
      </w:r>
      <w:r w:rsidRPr="001139CE">
        <w:rPr>
          <w:rFonts w:ascii="Arial" w:hAnsi="Arial" w:cs="Arial"/>
          <w:color w:val="231F20"/>
          <w:sz w:val="24"/>
          <w:szCs w:val="24"/>
          <w:lang w:eastAsia="en-GB"/>
        </w:rPr>
        <w:t xml:space="preserve"> However, it should be noted that any individual who holds a current visa under the old immigration rules (e.g. a Highly Skilled Migrant Program (HSMP) visa or work</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permit</w:t>
      </w:r>
      <w:proofErr w:type="gramEnd"/>
      <w:r w:rsidRPr="001139CE">
        <w:rPr>
          <w:rFonts w:ascii="Arial" w:hAnsi="Arial" w:cs="Arial"/>
          <w:color w:val="231F20"/>
          <w:sz w:val="24"/>
          <w:szCs w:val="24"/>
          <w:lang w:eastAsia="en-GB"/>
        </w:rPr>
        <w:t>) will not have to change their status until they wish to extend their stay.</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27.</w:t>
      </w:r>
      <w:r w:rsidRPr="001139CE">
        <w:rPr>
          <w:rFonts w:ascii="Arial" w:hAnsi="Arial" w:cs="Arial"/>
          <w:color w:val="584842"/>
          <w:sz w:val="24"/>
          <w:szCs w:val="24"/>
          <w:lang w:eastAsia="en-GB"/>
        </w:rPr>
        <w:t xml:space="preserve">  </w:t>
      </w:r>
      <w:r w:rsidRPr="001139CE">
        <w:rPr>
          <w:rFonts w:ascii="Arial" w:hAnsi="Arial" w:cs="Arial"/>
          <w:color w:val="231F20"/>
          <w:sz w:val="24"/>
          <w:szCs w:val="24"/>
          <w:lang w:eastAsia="en-GB"/>
        </w:rPr>
        <w:t>Migrants under Tier 2 of the points-based system (for skilled workers with a job offer) must be sponsored before they can apply to the UK Visas &amp; Immigration for permission to enter or remain in the UK. If an organisation wants to sponsor a migrant under Tier 2, they must apply to the UK Visas &amp; Immigration for a sponsor licence.</w:t>
      </w:r>
    </w:p>
    <w:p w:rsidR="001139CE" w:rsidRPr="001139CE" w:rsidRDefault="001139CE" w:rsidP="001139CE">
      <w:pPr>
        <w:autoSpaceDE w:val="0"/>
        <w:autoSpaceDN w:val="0"/>
        <w:adjustRightInd w:val="0"/>
        <w:spacing w:after="0" w:line="240" w:lineRule="auto"/>
        <w:jc w:val="both"/>
        <w:rPr>
          <w:rFonts w:ascii="Arial" w:hAnsi="Arial" w:cs="Arial"/>
          <w:b/>
          <w:bCs/>
          <w:color w:val="584842"/>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28.</w:t>
      </w:r>
      <w:r w:rsidRPr="001139CE">
        <w:rPr>
          <w:rFonts w:ascii="Arial" w:hAnsi="Arial" w:cs="Arial"/>
          <w:color w:val="584842"/>
          <w:sz w:val="24"/>
          <w:szCs w:val="24"/>
          <w:lang w:eastAsia="en-GB"/>
        </w:rPr>
        <w:t xml:space="preserve"> Organisations</w:t>
      </w:r>
      <w:r w:rsidRPr="001139CE">
        <w:rPr>
          <w:rFonts w:ascii="Arial" w:hAnsi="Arial" w:cs="Arial"/>
          <w:color w:val="231F20"/>
          <w:sz w:val="24"/>
          <w:szCs w:val="24"/>
          <w:lang w:eastAsia="en-GB"/>
        </w:rPr>
        <w:t xml:space="preserve"> can only bring someone into the UK under Tier 2 if the job is on the shortage occupation list or if they pass a resident labour market test.</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29</w:t>
      </w:r>
      <w:r w:rsidRPr="001139CE">
        <w:rPr>
          <w:rFonts w:ascii="Arial" w:hAnsi="Arial" w:cs="Arial"/>
          <w:color w:val="584842"/>
          <w:sz w:val="24"/>
          <w:szCs w:val="24"/>
          <w:lang w:eastAsia="en-GB"/>
        </w:rPr>
        <w:t xml:space="preserve">. </w:t>
      </w:r>
      <w:r w:rsidRPr="001139CE">
        <w:rPr>
          <w:rFonts w:ascii="Arial" w:hAnsi="Arial" w:cs="Arial"/>
          <w:color w:val="231F20"/>
          <w:sz w:val="24"/>
          <w:szCs w:val="24"/>
          <w:lang w:eastAsia="en-GB"/>
        </w:rPr>
        <w:t>If an occupation is on the shortage occupation list, it means there are not enough resident workers to fill the available jobs in that particular occupation. If a migrant comes to the UK under Tier 2 to do skilled work that is on the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roofErr w:type="gramStart"/>
      <w:r w:rsidRPr="001139CE">
        <w:rPr>
          <w:rFonts w:ascii="Arial" w:hAnsi="Arial" w:cs="Arial"/>
          <w:color w:val="231F20"/>
          <w:sz w:val="24"/>
          <w:szCs w:val="24"/>
          <w:lang w:eastAsia="en-GB"/>
        </w:rPr>
        <w:t>shortage</w:t>
      </w:r>
      <w:proofErr w:type="gramEnd"/>
      <w:r w:rsidRPr="001139CE">
        <w:rPr>
          <w:rFonts w:ascii="Arial" w:hAnsi="Arial" w:cs="Arial"/>
          <w:color w:val="231F20"/>
          <w:sz w:val="24"/>
          <w:szCs w:val="24"/>
          <w:lang w:eastAsia="en-GB"/>
        </w:rPr>
        <w:t xml:space="preserve"> occupation list, they will get all the points they need to apply (except the points for English language and maintenance).</w:t>
      </w:r>
    </w:p>
    <w:p w:rsidR="001139CE" w:rsidRPr="001139CE" w:rsidRDefault="001139CE" w:rsidP="001139CE">
      <w:pPr>
        <w:autoSpaceDE w:val="0"/>
        <w:autoSpaceDN w:val="0"/>
        <w:adjustRightInd w:val="0"/>
        <w:spacing w:after="0" w:line="240" w:lineRule="auto"/>
        <w:jc w:val="both"/>
        <w:rPr>
          <w:rFonts w:ascii="Arial" w:hAnsi="Arial" w:cs="Arial"/>
          <w:b/>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30</w:t>
      </w:r>
      <w:r w:rsidRPr="001139CE">
        <w:rPr>
          <w:rFonts w:ascii="Arial" w:hAnsi="Arial" w:cs="Arial"/>
          <w:color w:val="584842"/>
          <w:sz w:val="24"/>
          <w:szCs w:val="24"/>
          <w:lang w:eastAsia="en-GB"/>
        </w:rPr>
        <w:t xml:space="preserve">. </w:t>
      </w:r>
      <w:r w:rsidRPr="001139CE">
        <w:rPr>
          <w:rFonts w:ascii="Arial" w:hAnsi="Arial" w:cs="Arial"/>
          <w:color w:val="231F20"/>
          <w:sz w:val="24"/>
          <w:szCs w:val="24"/>
          <w:lang w:eastAsia="en-GB"/>
        </w:rPr>
        <w:t>Organisations may wish to recruit a migrant for a skilled job that is not on the list of shortage occupations. Ordinarily, they can only do this if they complete a resident labour market test and can show that no suitably qualified settled worker can fill the job.</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r w:rsidRPr="001139CE">
        <w:rPr>
          <w:rFonts w:ascii="Arial" w:hAnsi="Arial" w:cs="Arial"/>
          <w:b/>
          <w:color w:val="584842"/>
          <w:sz w:val="24"/>
          <w:szCs w:val="24"/>
          <w:lang w:eastAsia="en-GB"/>
        </w:rPr>
        <w:t>31</w:t>
      </w:r>
      <w:r w:rsidRPr="001139CE">
        <w:rPr>
          <w:rFonts w:ascii="Arial" w:hAnsi="Arial" w:cs="Arial"/>
          <w:color w:val="584842"/>
          <w:sz w:val="24"/>
          <w:szCs w:val="24"/>
          <w:lang w:eastAsia="en-GB"/>
        </w:rPr>
        <w:t xml:space="preserve">. </w:t>
      </w:r>
      <w:r w:rsidRPr="001139CE">
        <w:rPr>
          <w:rFonts w:ascii="Arial" w:hAnsi="Arial" w:cs="Arial"/>
          <w:color w:val="231F20"/>
          <w:sz w:val="24"/>
          <w:szCs w:val="24"/>
          <w:lang w:eastAsia="en-GB"/>
        </w:rPr>
        <w:t>Organisations are required to report to the UK Visas &amp; Immigration, within a prescribed timescale, on certain issues in relation to sponsored migrants such as failure to commence or certain absence from work, cessations of sponsorship, significant change of circumstance and information regarding potential breaches of conditions of leave.</w:t>
      </w:r>
    </w:p>
    <w:p w:rsidR="001139CE" w:rsidRPr="001139CE" w:rsidRDefault="001139CE" w:rsidP="001139CE">
      <w:pPr>
        <w:autoSpaceDE w:val="0"/>
        <w:autoSpaceDN w:val="0"/>
        <w:adjustRightInd w:val="0"/>
        <w:spacing w:after="0" w:line="240" w:lineRule="auto"/>
        <w:jc w:val="both"/>
        <w:rPr>
          <w:rFonts w:ascii="Arial" w:hAnsi="Arial" w:cs="Arial"/>
          <w:color w:val="231F20"/>
          <w:sz w:val="24"/>
          <w:szCs w:val="24"/>
          <w:lang w:eastAsia="en-GB"/>
        </w:rPr>
      </w:pPr>
    </w:p>
    <w:p w:rsidR="001139CE" w:rsidRPr="001139CE" w:rsidRDefault="001139CE" w:rsidP="001139CE">
      <w:pPr>
        <w:autoSpaceDE w:val="0"/>
        <w:autoSpaceDN w:val="0"/>
        <w:adjustRightInd w:val="0"/>
        <w:spacing w:after="0" w:line="240" w:lineRule="auto"/>
        <w:jc w:val="both"/>
        <w:rPr>
          <w:rFonts w:ascii="Arial" w:hAnsi="Arial" w:cs="Arial"/>
          <w:sz w:val="24"/>
          <w:szCs w:val="24"/>
          <w:lang w:eastAsia="en-GB"/>
        </w:rPr>
      </w:pPr>
      <w:r w:rsidRPr="001139CE">
        <w:rPr>
          <w:rFonts w:ascii="Arial" w:hAnsi="Arial" w:cs="Arial"/>
          <w:color w:val="584842"/>
          <w:sz w:val="24"/>
          <w:szCs w:val="24"/>
          <w:lang w:eastAsia="en-GB"/>
        </w:rPr>
        <w:lastRenderedPageBreak/>
        <w:t xml:space="preserve">32. </w:t>
      </w:r>
      <w:r w:rsidRPr="001139CE">
        <w:rPr>
          <w:rFonts w:ascii="Arial" w:hAnsi="Arial" w:cs="Arial"/>
          <w:color w:val="231F20"/>
          <w:sz w:val="24"/>
          <w:szCs w:val="24"/>
          <w:lang w:eastAsia="en-GB"/>
        </w:rPr>
        <w:t xml:space="preserve">Further information, including the current shortage occupation list, resident labour market test and Tier 2 Codes of Practice, can be obtained from the </w:t>
      </w:r>
      <w:r w:rsidRPr="001139CE">
        <w:rPr>
          <w:rFonts w:ascii="Arial" w:hAnsi="Arial" w:cs="Arial"/>
          <w:sz w:val="24"/>
          <w:szCs w:val="24"/>
          <w:lang w:eastAsia="en-GB"/>
        </w:rPr>
        <w:t>UK Visas &amp; Immigration</w:t>
      </w:r>
    </w:p>
    <w:p w:rsidR="0047332D" w:rsidRPr="0013417E" w:rsidRDefault="0047332D">
      <w:pPr>
        <w:rPr>
          <w:rFonts w:ascii="Verdana" w:hAnsi="Verdana"/>
        </w:rPr>
      </w:pPr>
    </w:p>
    <w:sectPr w:rsidR="0047332D"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lan-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33F08"/>
    <w:multiLevelType w:val="hybridMultilevel"/>
    <w:tmpl w:val="4852F8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C3D0528"/>
    <w:multiLevelType w:val="hybridMultilevel"/>
    <w:tmpl w:val="9C341F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3262862"/>
    <w:multiLevelType w:val="hybridMultilevel"/>
    <w:tmpl w:val="C574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0F2E60"/>
    <w:multiLevelType w:val="hybridMultilevel"/>
    <w:tmpl w:val="FBDA62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CE"/>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9CE"/>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475"/>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right-to-work-checks-employers-gui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2018-11-12T13:16:00Z</dcterms:created>
  <dcterms:modified xsi:type="dcterms:W3CDTF">2018-11-12T13:16:00Z</dcterms:modified>
</cp:coreProperties>
</file>