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708E6" w14:textId="4EAF7D94" w:rsidR="00EA5097" w:rsidRPr="00EA5097" w:rsidRDefault="000B52BC" w:rsidP="00CD5AA3">
      <w:pPr>
        <w:pStyle w:val="Heading1"/>
      </w:pPr>
      <w:r>
        <w:t>Note</w:t>
      </w:r>
    </w:p>
    <w:tbl>
      <w:tblPr>
        <w:tblStyle w:val="TableGrid"/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2839"/>
        <w:gridCol w:w="11153"/>
      </w:tblGrid>
      <w:tr w:rsidR="000B52BC" w14:paraId="6A08BE50" w14:textId="77777777" w:rsidTr="009C47F9">
        <w:tc>
          <w:tcPr>
            <w:tcW w:w="1838" w:type="dxa"/>
          </w:tcPr>
          <w:p w14:paraId="2A0F565C" w14:textId="77777777" w:rsidR="000B52BC" w:rsidRPr="0014551F" w:rsidRDefault="000B52BC" w:rsidP="009C47F9">
            <w:pPr>
              <w:spacing w:before="120" w:after="120" w:line="300" w:lineRule="auto"/>
              <w:rPr>
                <w:b/>
                <w:color w:val="404040" w:themeColor="text1" w:themeTint="BF"/>
              </w:rPr>
            </w:pPr>
            <w:r w:rsidRPr="0014551F">
              <w:rPr>
                <w:b/>
                <w:color w:val="404040" w:themeColor="text1" w:themeTint="BF"/>
              </w:rPr>
              <w:t>Meeting Date</w:t>
            </w:r>
          </w:p>
        </w:tc>
        <w:tc>
          <w:tcPr>
            <w:tcW w:w="7222" w:type="dxa"/>
          </w:tcPr>
          <w:p w14:paraId="2970DE31" w14:textId="1CBE2B73" w:rsidR="000B52BC" w:rsidRDefault="000B52BC" w:rsidP="00742C9D">
            <w:pPr>
              <w:spacing w:before="120" w:after="120" w:line="300" w:lineRule="auto"/>
            </w:pPr>
            <w:r>
              <w:t xml:space="preserve">Thursday </w:t>
            </w:r>
            <w:r w:rsidR="00742C9D">
              <w:t>26 September</w:t>
            </w:r>
            <w:r>
              <w:t xml:space="preserve">, 2019; </w:t>
            </w:r>
            <w:r w:rsidR="00D442AB">
              <w:t>10:30</w:t>
            </w:r>
            <w:r>
              <w:t xml:space="preserve"> – </w:t>
            </w:r>
            <w:r w:rsidR="00742C9D">
              <w:t>12</w:t>
            </w:r>
            <w:bookmarkStart w:id="0" w:name="_GoBack"/>
            <w:bookmarkEnd w:id="0"/>
            <w:r w:rsidR="00D442AB">
              <w:t>:00</w:t>
            </w:r>
          </w:p>
        </w:tc>
      </w:tr>
      <w:tr w:rsidR="000B52BC" w14:paraId="12A21B59" w14:textId="77777777" w:rsidTr="009C47F9">
        <w:tc>
          <w:tcPr>
            <w:tcW w:w="1838" w:type="dxa"/>
          </w:tcPr>
          <w:p w14:paraId="6C79EBF6" w14:textId="77777777" w:rsidR="000B52BC" w:rsidRPr="0014551F" w:rsidRDefault="000B52BC" w:rsidP="009C47F9">
            <w:pPr>
              <w:spacing w:before="120" w:after="120" w:line="30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Committee</w:t>
            </w:r>
          </w:p>
        </w:tc>
        <w:tc>
          <w:tcPr>
            <w:tcW w:w="7222" w:type="dxa"/>
          </w:tcPr>
          <w:p w14:paraId="3F60B513" w14:textId="77777777" w:rsidR="00D442AB" w:rsidRDefault="00D442AB" w:rsidP="00D442AB">
            <w:pPr>
              <w:spacing w:before="60" w:after="60"/>
            </w:pPr>
            <w:r>
              <w:t>Jean Couper, Chair</w:t>
            </w:r>
          </w:p>
          <w:p w14:paraId="7C0F70D1" w14:textId="77777777" w:rsidR="00D442AB" w:rsidRDefault="00D442AB" w:rsidP="00D442AB">
            <w:pPr>
              <w:spacing w:before="60" w:after="60"/>
            </w:pPr>
            <w:r>
              <w:t>Andy Shaw</w:t>
            </w:r>
          </w:p>
          <w:p w14:paraId="2675DCBE" w14:textId="7767F6BC" w:rsidR="000B52BC" w:rsidRDefault="00D442AB" w:rsidP="00D442AB">
            <w:pPr>
              <w:spacing w:before="60" w:after="60"/>
            </w:pPr>
            <w:r>
              <w:t>David Watt</w:t>
            </w:r>
          </w:p>
        </w:tc>
      </w:tr>
      <w:tr w:rsidR="000B52BC" w14:paraId="55588C26" w14:textId="77777777" w:rsidTr="009C47F9">
        <w:tc>
          <w:tcPr>
            <w:tcW w:w="1838" w:type="dxa"/>
          </w:tcPr>
          <w:p w14:paraId="6FFFF341" w14:textId="77777777" w:rsidR="000B52BC" w:rsidRPr="0014551F" w:rsidRDefault="000B52BC" w:rsidP="009C47F9">
            <w:pPr>
              <w:spacing w:before="120" w:after="120" w:line="300" w:lineRule="auto"/>
              <w:rPr>
                <w:b/>
                <w:color w:val="404040" w:themeColor="text1" w:themeTint="BF"/>
              </w:rPr>
            </w:pPr>
            <w:r w:rsidRPr="0014551F">
              <w:rPr>
                <w:b/>
                <w:color w:val="404040" w:themeColor="text1" w:themeTint="BF"/>
              </w:rPr>
              <w:t>Attendees</w:t>
            </w:r>
          </w:p>
        </w:tc>
        <w:tc>
          <w:tcPr>
            <w:tcW w:w="7222" w:type="dxa"/>
          </w:tcPr>
          <w:p w14:paraId="49240138" w14:textId="1C89C833" w:rsidR="000B52BC" w:rsidRDefault="000B52BC" w:rsidP="009C47F9">
            <w:pPr>
              <w:spacing w:before="60" w:after="60"/>
            </w:pPr>
            <w:r>
              <w:t>Extern</w:t>
            </w:r>
            <w:r w:rsidR="00D442AB">
              <w:t xml:space="preserve">al Auditor - Deloitte: Kyle </w:t>
            </w:r>
            <w:proofErr w:type="spellStart"/>
            <w:r w:rsidR="00D442AB">
              <w:t>McAuley</w:t>
            </w:r>
            <w:proofErr w:type="spellEnd"/>
          </w:p>
          <w:p w14:paraId="054F9DE2" w14:textId="6405BEEC" w:rsidR="000B52BC" w:rsidRDefault="000B52BC" w:rsidP="009C47F9">
            <w:pPr>
              <w:spacing w:before="60" w:after="60"/>
            </w:pPr>
            <w:r>
              <w:t xml:space="preserve">Internal Auditor - SLAB: </w:t>
            </w:r>
            <w:r w:rsidR="00D442AB">
              <w:t xml:space="preserve">Nicola Johnston and </w:t>
            </w:r>
            <w:r>
              <w:t>Anne Smith</w:t>
            </w:r>
          </w:p>
          <w:p w14:paraId="5A68A717" w14:textId="77777777" w:rsidR="000B52BC" w:rsidRDefault="000B52BC" w:rsidP="009C47F9">
            <w:pPr>
              <w:spacing w:before="60" w:after="60"/>
            </w:pPr>
            <w:r>
              <w:t>Ombudsman - Rosemary Agnew</w:t>
            </w:r>
          </w:p>
          <w:p w14:paraId="7BDEFBD6" w14:textId="77777777" w:rsidR="000B52BC" w:rsidRDefault="000B52BC" w:rsidP="009C47F9">
            <w:pPr>
              <w:spacing w:before="60" w:after="60"/>
            </w:pPr>
            <w:r>
              <w:t>Director - Niki Maclean</w:t>
            </w:r>
          </w:p>
          <w:p w14:paraId="51C0325A" w14:textId="77777777" w:rsidR="000B52BC" w:rsidRDefault="000B52BC" w:rsidP="009C47F9">
            <w:pPr>
              <w:spacing w:before="120" w:after="120" w:line="300" w:lineRule="auto"/>
            </w:pPr>
            <w:r>
              <w:t>Corporate Services Manager - Fiona Paterson (note taker)</w:t>
            </w:r>
          </w:p>
        </w:tc>
      </w:tr>
      <w:tr w:rsidR="000B52BC" w14:paraId="365B2571" w14:textId="77777777" w:rsidTr="009C47F9">
        <w:tc>
          <w:tcPr>
            <w:tcW w:w="1838" w:type="dxa"/>
          </w:tcPr>
          <w:p w14:paraId="5E611F40" w14:textId="570AC17C" w:rsidR="000B52BC" w:rsidRPr="0014551F" w:rsidRDefault="000B52BC" w:rsidP="009C47F9">
            <w:pPr>
              <w:spacing w:before="120" w:after="120" w:line="30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Observer</w:t>
            </w:r>
          </w:p>
        </w:tc>
        <w:tc>
          <w:tcPr>
            <w:tcW w:w="7222" w:type="dxa"/>
          </w:tcPr>
          <w:p w14:paraId="4EF8B596" w14:textId="6D464850" w:rsidR="000B52BC" w:rsidRDefault="000B52BC" w:rsidP="000B52BC">
            <w:pPr>
              <w:spacing w:before="60" w:after="60"/>
            </w:pPr>
            <w:r w:rsidRPr="000B52BC">
              <w:t>Theresa Valtin, Communications Manager</w:t>
            </w:r>
          </w:p>
        </w:tc>
      </w:tr>
      <w:tr w:rsidR="000B52BC" w14:paraId="017255B5" w14:textId="77777777" w:rsidTr="009C47F9">
        <w:tc>
          <w:tcPr>
            <w:tcW w:w="1838" w:type="dxa"/>
          </w:tcPr>
          <w:p w14:paraId="41056565" w14:textId="77777777" w:rsidR="000B52BC" w:rsidRPr="0014551F" w:rsidRDefault="000B52BC" w:rsidP="009C47F9">
            <w:pPr>
              <w:spacing w:before="120" w:after="120" w:line="300" w:lineRule="auto"/>
              <w:rPr>
                <w:b/>
                <w:color w:val="404040" w:themeColor="text1" w:themeTint="BF"/>
              </w:rPr>
            </w:pPr>
            <w:r w:rsidRPr="0014551F">
              <w:rPr>
                <w:b/>
                <w:color w:val="404040" w:themeColor="text1" w:themeTint="BF"/>
              </w:rPr>
              <w:t>Apologies</w:t>
            </w:r>
          </w:p>
        </w:tc>
        <w:tc>
          <w:tcPr>
            <w:tcW w:w="7222" w:type="dxa"/>
          </w:tcPr>
          <w:p w14:paraId="7C8191AA" w14:textId="77777777" w:rsidR="00D442AB" w:rsidRDefault="00D442AB" w:rsidP="00D442AB">
            <w:pPr>
              <w:spacing w:before="60" w:after="60"/>
            </w:pPr>
            <w:r>
              <w:t xml:space="preserve">External Auditor - Deloitte: Pat Kenny </w:t>
            </w:r>
          </w:p>
          <w:p w14:paraId="070FBA7F" w14:textId="1CAC3738" w:rsidR="000B52BC" w:rsidRDefault="00D442AB" w:rsidP="00D442AB">
            <w:pPr>
              <w:spacing w:before="60" w:after="60"/>
            </w:pPr>
            <w:r>
              <w:t xml:space="preserve">Head of </w:t>
            </w:r>
            <w:r w:rsidRPr="00871244">
              <w:t>Improvement, Standards and Engagement</w:t>
            </w:r>
            <w:r>
              <w:t xml:space="preserve"> - John Stevenson</w:t>
            </w:r>
          </w:p>
        </w:tc>
      </w:tr>
    </w:tbl>
    <w:p w14:paraId="02F918F1" w14:textId="19692260" w:rsidR="00DD43C5" w:rsidRPr="00DD43C5" w:rsidRDefault="00DD43C5" w:rsidP="000D3F33">
      <w:pPr>
        <w:spacing w:before="120" w:after="120" w:line="300" w:lineRule="auto"/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868"/>
        <w:gridCol w:w="7512"/>
        <w:gridCol w:w="1843"/>
        <w:gridCol w:w="1134"/>
        <w:gridCol w:w="814"/>
      </w:tblGrid>
      <w:tr w:rsidR="0016777E" w:rsidRPr="009A5A53" w14:paraId="12F86C59" w14:textId="1D0CAFF2" w:rsidTr="00B91278">
        <w:trPr>
          <w:tblHeader/>
        </w:trPr>
        <w:tc>
          <w:tcPr>
            <w:tcW w:w="821" w:type="dxa"/>
            <w:shd w:val="clear" w:color="auto" w:fill="9FCFD5"/>
          </w:tcPr>
          <w:p w14:paraId="16F6A098" w14:textId="12F9EC55" w:rsidR="000B52BC" w:rsidRPr="009A5A53" w:rsidRDefault="000B52BC" w:rsidP="000D3F33">
            <w:pPr>
              <w:spacing w:before="120" w:after="120" w:line="300" w:lineRule="auto"/>
              <w:jc w:val="center"/>
              <w:rPr>
                <w:b/>
                <w:color w:val="000000" w:themeColor="text1"/>
              </w:rPr>
            </w:pPr>
            <w:r w:rsidRPr="009A5A53">
              <w:rPr>
                <w:b/>
                <w:color w:val="000000" w:themeColor="text1"/>
              </w:rPr>
              <w:t>Item</w:t>
            </w:r>
          </w:p>
        </w:tc>
        <w:tc>
          <w:tcPr>
            <w:tcW w:w="1868" w:type="dxa"/>
            <w:shd w:val="clear" w:color="auto" w:fill="9FCFD5"/>
          </w:tcPr>
          <w:p w14:paraId="5B933F58" w14:textId="02FBE903" w:rsidR="000B52BC" w:rsidRPr="009A5A53" w:rsidRDefault="000B52BC" w:rsidP="000D3F33">
            <w:pPr>
              <w:spacing w:before="120" w:after="120" w:line="300" w:lineRule="auto"/>
              <w:jc w:val="center"/>
              <w:rPr>
                <w:b/>
                <w:color w:val="000000" w:themeColor="text1"/>
              </w:rPr>
            </w:pPr>
            <w:r w:rsidRPr="009A5A53">
              <w:rPr>
                <w:b/>
                <w:color w:val="000000" w:themeColor="text1"/>
              </w:rPr>
              <w:t>Subject</w:t>
            </w:r>
          </w:p>
        </w:tc>
        <w:tc>
          <w:tcPr>
            <w:tcW w:w="7512" w:type="dxa"/>
            <w:shd w:val="clear" w:color="auto" w:fill="9FCFD5"/>
          </w:tcPr>
          <w:p w14:paraId="11B30C8E" w14:textId="042D26B9" w:rsidR="000B52BC" w:rsidRPr="009A5A53" w:rsidRDefault="000B52BC" w:rsidP="000D3F33">
            <w:pPr>
              <w:spacing w:before="120" w:after="120" w:line="300" w:lineRule="auto"/>
              <w:jc w:val="center"/>
              <w:rPr>
                <w:b/>
                <w:color w:val="000000" w:themeColor="text1"/>
              </w:rPr>
            </w:pPr>
            <w:r w:rsidRPr="009A5A53">
              <w:rPr>
                <w:b/>
                <w:color w:val="000000" w:themeColor="text1"/>
              </w:rPr>
              <w:t>Main points of discussion</w:t>
            </w:r>
          </w:p>
        </w:tc>
        <w:tc>
          <w:tcPr>
            <w:tcW w:w="1843" w:type="dxa"/>
            <w:shd w:val="clear" w:color="auto" w:fill="9FCFD5"/>
          </w:tcPr>
          <w:p w14:paraId="293E8C7A" w14:textId="14A8B834" w:rsidR="000B52BC" w:rsidRPr="009A5A53" w:rsidRDefault="000B52BC" w:rsidP="000D3F33">
            <w:pPr>
              <w:spacing w:before="120" w:after="120" w:line="300" w:lineRule="auto"/>
              <w:jc w:val="center"/>
              <w:rPr>
                <w:b/>
                <w:color w:val="000000" w:themeColor="text1"/>
              </w:rPr>
            </w:pPr>
            <w:r w:rsidRPr="009A5A53">
              <w:rPr>
                <w:b/>
                <w:color w:val="000000" w:themeColor="text1"/>
              </w:rPr>
              <w:t>Actions agreed</w:t>
            </w:r>
          </w:p>
        </w:tc>
        <w:tc>
          <w:tcPr>
            <w:tcW w:w="1134" w:type="dxa"/>
            <w:shd w:val="clear" w:color="auto" w:fill="9FCFD5"/>
          </w:tcPr>
          <w:p w14:paraId="46440F75" w14:textId="0156816C" w:rsidR="000B52BC" w:rsidRPr="009A5A53" w:rsidRDefault="000B52BC" w:rsidP="000D3F33">
            <w:pPr>
              <w:spacing w:before="120" w:after="120" w:line="300" w:lineRule="auto"/>
              <w:jc w:val="center"/>
              <w:rPr>
                <w:b/>
                <w:color w:val="000000" w:themeColor="text1"/>
              </w:rPr>
            </w:pPr>
            <w:r w:rsidRPr="009A5A53">
              <w:rPr>
                <w:b/>
                <w:color w:val="000000" w:themeColor="text1"/>
              </w:rPr>
              <w:t>Due</w:t>
            </w:r>
          </w:p>
        </w:tc>
        <w:tc>
          <w:tcPr>
            <w:tcW w:w="814" w:type="dxa"/>
            <w:shd w:val="clear" w:color="auto" w:fill="9FCFD5"/>
          </w:tcPr>
          <w:p w14:paraId="0AC68EE4" w14:textId="46125D0B" w:rsidR="000B52BC" w:rsidRPr="009A5A53" w:rsidRDefault="000B52BC" w:rsidP="009353FE">
            <w:pPr>
              <w:spacing w:before="120" w:after="120" w:line="300" w:lineRule="auto"/>
              <w:jc w:val="center"/>
              <w:rPr>
                <w:b/>
                <w:color w:val="000000" w:themeColor="text1"/>
              </w:rPr>
            </w:pPr>
            <w:r w:rsidRPr="009A5A53">
              <w:rPr>
                <w:b/>
                <w:color w:val="000000" w:themeColor="text1"/>
              </w:rPr>
              <w:t>Lead</w:t>
            </w:r>
          </w:p>
        </w:tc>
      </w:tr>
      <w:tr w:rsidR="0016777E" w:rsidRPr="009A5A53" w14:paraId="767ACCD3" w14:textId="77777777" w:rsidTr="00B91278">
        <w:tc>
          <w:tcPr>
            <w:tcW w:w="821" w:type="dxa"/>
          </w:tcPr>
          <w:p w14:paraId="5DF533EB" w14:textId="35BA1CC0" w:rsidR="009353FE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868" w:type="dxa"/>
          </w:tcPr>
          <w:p w14:paraId="22D5B117" w14:textId="69E265FB" w:rsidR="009353FE" w:rsidRPr="0016518D" w:rsidRDefault="009353FE" w:rsidP="009353FE">
            <w:pPr>
              <w:spacing w:before="120" w:after="120" w:line="300" w:lineRule="auto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Pr="0016518D">
              <w:rPr>
                <w:lang w:eastAsia="en-US"/>
              </w:rPr>
              <w:t>eclarations of Interest</w:t>
            </w:r>
          </w:p>
        </w:tc>
        <w:tc>
          <w:tcPr>
            <w:tcW w:w="7512" w:type="dxa"/>
          </w:tcPr>
          <w:p w14:paraId="3C52F011" w14:textId="0B2D4CAC" w:rsidR="00397D5C" w:rsidRPr="00397D5C" w:rsidRDefault="00397D5C" w:rsidP="00397D5C">
            <w:pPr>
              <w:pStyle w:val="ListParagraph"/>
              <w:numPr>
                <w:ilvl w:val="0"/>
                <w:numId w:val="19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AAB noted the retirement of Jim McCormick from the Board and the Chair welcomed the new member, Andy Shaw, to the meeting.</w:t>
            </w:r>
          </w:p>
          <w:p w14:paraId="7AF77659" w14:textId="7F4F4778" w:rsidR="009353FE" w:rsidRPr="00397D5C" w:rsidRDefault="00397D5C" w:rsidP="00397D5C">
            <w:pPr>
              <w:pStyle w:val="ListParagraph"/>
              <w:numPr>
                <w:ilvl w:val="0"/>
                <w:numId w:val="19"/>
              </w:numPr>
              <w:spacing w:before="120" w:after="120" w:line="300" w:lineRule="auto"/>
              <w:rPr>
                <w:color w:val="000000" w:themeColor="text1"/>
              </w:rPr>
            </w:pPr>
            <w:r w:rsidRPr="00397D5C">
              <w:rPr>
                <w:color w:val="000000" w:themeColor="text1"/>
              </w:rPr>
              <w:t xml:space="preserve">There were no additional </w:t>
            </w:r>
            <w:r>
              <w:rPr>
                <w:color w:val="000000" w:themeColor="text1"/>
              </w:rPr>
              <w:t>matter</w:t>
            </w:r>
            <w:r w:rsidR="00DF5559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for </w:t>
            </w:r>
            <w:r w:rsidRPr="00397D5C">
              <w:rPr>
                <w:color w:val="000000" w:themeColor="text1"/>
              </w:rPr>
              <w:t>declaration</w:t>
            </w:r>
            <w:r>
              <w:rPr>
                <w:color w:val="000000" w:themeColor="text1"/>
              </w:rPr>
              <w:t>, other than already noted on the published Declarations of Interest.</w:t>
            </w:r>
          </w:p>
        </w:tc>
        <w:tc>
          <w:tcPr>
            <w:tcW w:w="1843" w:type="dxa"/>
            <w:shd w:val="clear" w:color="auto" w:fill="auto"/>
          </w:tcPr>
          <w:p w14:paraId="028440FA" w14:textId="54328E66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26BD680D" w14:textId="684C5A56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</w:p>
        </w:tc>
        <w:tc>
          <w:tcPr>
            <w:tcW w:w="814" w:type="dxa"/>
            <w:shd w:val="clear" w:color="auto" w:fill="auto"/>
          </w:tcPr>
          <w:p w14:paraId="4B4D7B2A" w14:textId="3FA99881" w:rsidR="009353FE" w:rsidRDefault="009353FE" w:rsidP="0016777E">
            <w:pPr>
              <w:spacing w:before="120" w:after="120" w:line="300" w:lineRule="auto"/>
              <w:rPr>
                <w:color w:val="000000" w:themeColor="text1"/>
              </w:rPr>
            </w:pPr>
          </w:p>
        </w:tc>
      </w:tr>
      <w:tr w:rsidR="0016777E" w:rsidRPr="009A5A53" w14:paraId="02B694E3" w14:textId="588812A4" w:rsidTr="00B91278">
        <w:tc>
          <w:tcPr>
            <w:tcW w:w="821" w:type="dxa"/>
          </w:tcPr>
          <w:p w14:paraId="05B222CA" w14:textId="346F0A97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 w:rsidRPr="009A5A53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1868" w:type="dxa"/>
          </w:tcPr>
          <w:p w14:paraId="357B83FF" w14:textId="4DE1B5CA" w:rsidR="009353FE" w:rsidRPr="009A5A53" w:rsidRDefault="009353FE" w:rsidP="00D9051C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auto"/>
                <w:lang w:eastAsia="en-US"/>
              </w:rPr>
              <w:t>Previous note</w:t>
            </w:r>
            <w:r w:rsidR="00D9051C">
              <w:rPr>
                <w:color w:val="auto"/>
                <w:lang w:eastAsia="en-US"/>
              </w:rPr>
              <w:t>s</w:t>
            </w:r>
            <w:r w:rsidRPr="001F1BBD">
              <w:rPr>
                <w:color w:val="auto"/>
                <w:lang w:eastAsia="en-US"/>
              </w:rPr>
              <w:t xml:space="preserve">, </w:t>
            </w:r>
            <w:r w:rsidR="00D9051C" w:rsidRPr="001F1BBD">
              <w:rPr>
                <w:color w:val="auto"/>
                <w:lang w:eastAsia="en-US"/>
              </w:rPr>
              <w:t xml:space="preserve">outstanding </w:t>
            </w:r>
            <w:r w:rsidR="00D9051C">
              <w:rPr>
                <w:color w:val="auto"/>
                <w:lang w:eastAsia="en-US"/>
              </w:rPr>
              <w:t>action points</w:t>
            </w:r>
          </w:p>
        </w:tc>
        <w:tc>
          <w:tcPr>
            <w:tcW w:w="7512" w:type="dxa"/>
          </w:tcPr>
          <w:p w14:paraId="6E9FFA55" w14:textId="1DB7B9EF" w:rsidR="00053483" w:rsidRPr="0065129A" w:rsidRDefault="009353FE" w:rsidP="0065129A">
            <w:pPr>
              <w:pStyle w:val="ListParagraph"/>
              <w:numPr>
                <w:ilvl w:val="0"/>
                <w:numId w:val="22"/>
              </w:numPr>
              <w:spacing w:before="120" w:after="120" w:line="300" w:lineRule="auto"/>
              <w:rPr>
                <w:color w:val="000000" w:themeColor="text1"/>
              </w:rPr>
            </w:pPr>
            <w:r w:rsidRPr="0065129A">
              <w:rPr>
                <w:color w:val="000000" w:themeColor="text1"/>
              </w:rPr>
              <w:t>The previous note</w:t>
            </w:r>
            <w:r w:rsidR="00397D5C" w:rsidRPr="0065129A">
              <w:rPr>
                <w:color w:val="000000" w:themeColor="text1"/>
              </w:rPr>
              <w:t xml:space="preserve">s and outstanding actions </w:t>
            </w:r>
            <w:proofErr w:type="gramStart"/>
            <w:r w:rsidR="00397D5C" w:rsidRPr="0065129A">
              <w:rPr>
                <w:color w:val="000000" w:themeColor="text1"/>
              </w:rPr>
              <w:t>were reviewed</w:t>
            </w:r>
            <w:proofErr w:type="gramEnd"/>
            <w:r w:rsidR="00397D5C" w:rsidRPr="0065129A">
              <w:rPr>
                <w:color w:val="000000" w:themeColor="text1"/>
              </w:rPr>
              <w:t xml:space="preserve"> and there were no additional matters arising from the review</w:t>
            </w:r>
            <w:r w:rsidRPr="0065129A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FDB825C" w14:textId="1045FE56" w:rsidR="009353FE" w:rsidRPr="009353FE" w:rsidRDefault="009353FE" w:rsidP="009353FE">
            <w:pPr>
              <w:spacing w:before="120" w:after="120" w:line="30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CBAA1F0" w14:textId="70914662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</w:p>
        </w:tc>
        <w:tc>
          <w:tcPr>
            <w:tcW w:w="814" w:type="dxa"/>
            <w:shd w:val="clear" w:color="auto" w:fill="auto"/>
          </w:tcPr>
          <w:p w14:paraId="77400354" w14:textId="3C890BAA" w:rsidR="009353FE" w:rsidRPr="009A5A53" w:rsidRDefault="009353FE" w:rsidP="0016777E">
            <w:pPr>
              <w:spacing w:before="120" w:after="120" w:line="300" w:lineRule="auto"/>
              <w:rPr>
                <w:color w:val="000000" w:themeColor="text1"/>
              </w:rPr>
            </w:pPr>
          </w:p>
        </w:tc>
      </w:tr>
      <w:tr w:rsidR="0016777E" w:rsidRPr="009A5A53" w14:paraId="1FE67AFF" w14:textId="215258E1" w:rsidTr="00B91278">
        <w:tc>
          <w:tcPr>
            <w:tcW w:w="821" w:type="dxa"/>
          </w:tcPr>
          <w:p w14:paraId="641E2A2F" w14:textId="3BAA75C3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 w:rsidRPr="009A5A53">
              <w:rPr>
                <w:color w:val="000000" w:themeColor="text1"/>
              </w:rPr>
              <w:t>3.</w:t>
            </w:r>
          </w:p>
        </w:tc>
        <w:tc>
          <w:tcPr>
            <w:tcW w:w="1868" w:type="dxa"/>
            <w:shd w:val="clear" w:color="auto" w:fill="auto"/>
          </w:tcPr>
          <w:p w14:paraId="2EB66F20" w14:textId="48CB508F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lang w:eastAsia="en-US"/>
              </w:rPr>
              <w:t>Financial report</w:t>
            </w:r>
          </w:p>
        </w:tc>
        <w:tc>
          <w:tcPr>
            <w:tcW w:w="7512" w:type="dxa"/>
          </w:tcPr>
          <w:p w14:paraId="04CE0622" w14:textId="36B89B2A" w:rsidR="00D9051C" w:rsidRPr="00D9051C" w:rsidRDefault="00D9051C" w:rsidP="00D9051C">
            <w:pPr>
              <w:pStyle w:val="ListParagraph"/>
              <w:numPr>
                <w:ilvl w:val="0"/>
                <w:numId w:val="21"/>
              </w:numPr>
              <w:spacing w:before="120" w:after="120" w:line="300" w:lineRule="auto"/>
              <w:rPr>
                <w:color w:val="000000" w:themeColor="text1"/>
              </w:rPr>
            </w:pPr>
            <w:r w:rsidRPr="00D9051C">
              <w:rPr>
                <w:color w:val="000000" w:themeColor="text1"/>
              </w:rPr>
              <w:t xml:space="preserve">The </w:t>
            </w:r>
            <w:r w:rsidR="00C9427A">
              <w:rPr>
                <w:color w:val="000000" w:themeColor="text1"/>
              </w:rPr>
              <w:t>AAB</w:t>
            </w:r>
            <w:r w:rsidRPr="00D9051C">
              <w:rPr>
                <w:color w:val="000000" w:themeColor="text1"/>
              </w:rPr>
              <w:t xml:space="preserve"> noted the year-end financial position outlined in the report, including the cash balances.  The report also outlined the additional in-year funding requests for 20</w:t>
            </w:r>
            <w:r w:rsidR="00DF5559">
              <w:rPr>
                <w:color w:val="000000" w:themeColor="text1"/>
              </w:rPr>
              <w:t xml:space="preserve">19-20, the majority of which </w:t>
            </w:r>
            <w:proofErr w:type="gramStart"/>
            <w:r w:rsidR="00DF5559">
              <w:rPr>
                <w:color w:val="000000" w:themeColor="text1"/>
              </w:rPr>
              <w:t>is attributed</w:t>
            </w:r>
            <w:proofErr w:type="gramEnd"/>
            <w:r w:rsidRPr="00D9051C">
              <w:rPr>
                <w:color w:val="000000" w:themeColor="text1"/>
              </w:rPr>
              <w:t xml:space="preserve"> to</w:t>
            </w:r>
            <w:r w:rsidR="00DF5559">
              <w:rPr>
                <w:color w:val="000000" w:themeColor="text1"/>
              </w:rPr>
              <w:t xml:space="preserve"> the</w:t>
            </w:r>
            <w:r w:rsidRPr="00D9051C">
              <w:rPr>
                <w:color w:val="000000" w:themeColor="text1"/>
              </w:rPr>
              <w:t xml:space="preserve"> additional pension and other staff related costs.</w:t>
            </w:r>
          </w:p>
          <w:p w14:paraId="1092E211" w14:textId="104A9204" w:rsidR="00053483" w:rsidRDefault="00053483" w:rsidP="00CC1706">
            <w:pPr>
              <w:pStyle w:val="ListParagraph"/>
              <w:numPr>
                <w:ilvl w:val="0"/>
                <w:numId w:val="21"/>
              </w:numPr>
              <w:spacing w:before="120" w:after="120" w:line="300" w:lineRule="auto"/>
              <w:rPr>
                <w:color w:val="000000" w:themeColor="text1"/>
              </w:rPr>
            </w:pPr>
            <w:r w:rsidRPr="00D9051C">
              <w:rPr>
                <w:color w:val="000000" w:themeColor="text1"/>
              </w:rPr>
              <w:t xml:space="preserve">The Director provided </w:t>
            </w:r>
            <w:r w:rsidR="00D9051C" w:rsidRPr="00D9051C">
              <w:rPr>
                <w:color w:val="000000" w:themeColor="text1"/>
              </w:rPr>
              <w:t xml:space="preserve">a copy of the SPSO </w:t>
            </w:r>
            <w:r w:rsidR="00CC1706" w:rsidRPr="00D9051C">
              <w:rPr>
                <w:color w:val="000000" w:themeColor="text1"/>
              </w:rPr>
              <w:t>2020-21</w:t>
            </w:r>
            <w:r w:rsidR="00CC1706">
              <w:rPr>
                <w:color w:val="000000" w:themeColor="text1"/>
              </w:rPr>
              <w:t xml:space="preserve"> </w:t>
            </w:r>
            <w:r w:rsidR="00D9051C" w:rsidRPr="00D9051C">
              <w:rPr>
                <w:color w:val="000000" w:themeColor="text1"/>
              </w:rPr>
              <w:t>bu</w:t>
            </w:r>
            <w:r w:rsidR="00DF5559">
              <w:rPr>
                <w:color w:val="000000" w:themeColor="text1"/>
              </w:rPr>
              <w:t>dget</w:t>
            </w:r>
            <w:r w:rsidR="00CC1706">
              <w:rPr>
                <w:color w:val="000000" w:themeColor="text1"/>
              </w:rPr>
              <w:t xml:space="preserve"> </w:t>
            </w:r>
            <w:r w:rsidR="00D9051C" w:rsidRPr="00D9051C">
              <w:rPr>
                <w:color w:val="000000" w:themeColor="text1"/>
              </w:rPr>
              <w:t xml:space="preserve">submitted </w:t>
            </w:r>
            <w:r w:rsidR="00D9051C">
              <w:rPr>
                <w:color w:val="000000" w:themeColor="text1"/>
              </w:rPr>
              <w:t xml:space="preserve">to the SPCB </w:t>
            </w:r>
            <w:r w:rsidR="00D9051C" w:rsidRPr="00D9051C">
              <w:rPr>
                <w:color w:val="000000" w:themeColor="text1"/>
              </w:rPr>
              <w:t>on 19 September 2019</w:t>
            </w:r>
            <w:r w:rsidR="00CC1706">
              <w:rPr>
                <w:color w:val="000000" w:themeColor="text1"/>
              </w:rPr>
              <w:t xml:space="preserve">.  She </w:t>
            </w:r>
            <w:r w:rsidR="00D9051C">
              <w:rPr>
                <w:color w:val="000000" w:themeColor="text1"/>
              </w:rPr>
              <w:t xml:space="preserve">highlighted the </w:t>
            </w:r>
            <w:r w:rsidR="00CC1706">
              <w:rPr>
                <w:color w:val="000000" w:themeColor="text1"/>
              </w:rPr>
              <w:t>area of significant uplift was staff costs</w:t>
            </w:r>
            <w:r w:rsidR="00CC1706" w:rsidRPr="00CC1706">
              <w:rPr>
                <w:color w:val="000000" w:themeColor="text1"/>
              </w:rPr>
              <w:t xml:space="preserve"> with no variation to head count, due to </w:t>
            </w:r>
            <w:r w:rsidR="00DF5559">
              <w:rPr>
                <w:color w:val="000000" w:themeColor="text1"/>
              </w:rPr>
              <w:t xml:space="preserve">the additional </w:t>
            </w:r>
            <w:r w:rsidR="00CC1706" w:rsidRPr="00CC1706">
              <w:rPr>
                <w:color w:val="000000" w:themeColor="text1"/>
              </w:rPr>
              <w:t>pension and other staff related costs</w:t>
            </w:r>
            <w:r w:rsidR="00D9051C" w:rsidRPr="00CC1706">
              <w:rPr>
                <w:color w:val="000000" w:themeColor="text1"/>
              </w:rPr>
              <w:t>.</w:t>
            </w:r>
          </w:p>
          <w:p w14:paraId="305404DA" w14:textId="1F23E9FE" w:rsidR="00CC1706" w:rsidRDefault="00CC1706" w:rsidP="00CC1706">
            <w:pPr>
              <w:pStyle w:val="ListParagraph"/>
              <w:numPr>
                <w:ilvl w:val="0"/>
                <w:numId w:val="21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Ombudsman shared the Financial Memorandum for the implementation of the new Independent National (NHS) Whistle-blowing Officer</w:t>
            </w:r>
            <w:r w:rsidR="00DF5559">
              <w:rPr>
                <w:color w:val="000000" w:themeColor="text1"/>
              </w:rPr>
              <w:t xml:space="preserve"> (</w:t>
            </w:r>
            <w:proofErr w:type="spellStart"/>
            <w:r w:rsidR="00DF5559">
              <w:rPr>
                <w:color w:val="000000" w:themeColor="text1"/>
              </w:rPr>
              <w:t>INWO</w:t>
            </w:r>
            <w:proofErr w:type="spellEnd"/>
            <w:r w:rsidR="00DF5559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jurisdiction</w:t>
            </w:r>
            <w:r w:rsidR="0065129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and the organisational planning</w:t>
            </w:r>
            <w:r w:rsidR="00312327">
              <w:rPr>
                <w:color w:val="000000" w:themeColor="text1"/>
              </w:rPr>
              <w:t xml:space="preserve"> and reorganisation that </w:t>
            </w:r>
            <w:proofErr w:type="gramStart"/>
            <w:r w:rsidR="00312327">
              <w:rPr>
                <w:color w:val="000000" w:themeColor="text1"/>
              </w:rPr>
              <w:t>will be undertaken</w:t>
            </w:r>
            <w:proofErr w:type="gramEnd"/>
            <w:r w:rsidR="0031232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to incorporate this new activity.</w:t>
            </w:r>
          </w:p>
          <w:p w14:paraId="5C70FC83" w14:textId="3A278DE9" w:rsidR="00BF7F2F" w:rsidRPr="00312327" w:rsidRDefault="00CC1706" w:rsidP="00C9427A">
            <w:pPr>
              <w:pStyle w:val="ListParagraph"/>
              <w:numPr>
                <w:ilvl w:val="0"/>
                <w:numId w:val="21"/>
              </w:numPr>
              <w:spacing w:before="120" w:after="120" w:line="300" w:lineRule="auto"/>
              <w:rPr>
                <w:color w:val="000000" w:themeColor="text1"/>
              </w:rPr>
            </w:pPr>
            <w:r w:rsidRPr="00CC1706">
              <w:rPr>
                <w:color w:val="000000" w:themeColor="text1"/>
              </w:rPr>
              <w:t xml:space="preserve">The </w:t>
            </w:r>
            <w:r w:rsidR="00C9427A">
              <w:rPr>
                <w:color w:val="000000" w:themeColor="text1"/>
              </w:rPr>
              <w:t>AAB</w:t>
            </w:r>
            <w:r w:rsidRPr="00CC1706">
              <w:rPr>
                <w:color w:val="000000" w:themeColor="text1"/>
              </w:rPr>
              <w:t xml:space="preserve"> noted the risks and the number of unknowns associated with the new </w:t>
            </w:r>
            <w:proofErr w:type="spellStart"/>
            <w:r w:rsidRPr="00CC1706">
              <w:rPr>
                <w:color w:val="000000" w:themeColor="text1"/>
              </w:rPr>
              <w:t>INWO</w:t>
            </w:r>
            <w:proofErr w:type="spellEnd"/>
            <w:r w:rsidRPr="00CC1706">
              <w:rPr>
                <w:color w:val="000000" w:themeColor="text1"/>
              </w:rPr>
              <w:t xml:space="preserve"> activity</w:t>
            </w:r>
            <w:r w:rsidR="00BF7F2F" w:rsidRPr="00312327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14:paraId="317A6B75" w14:textId="6932EFAD" w:rsidR="009353FE" w:rsidRPr="009A5A53" w:rsidRDefault="009353FE" w:rsidP="008217CF">
            <w:pPr>
              <w:spacing w:before="120" w:after="120" w:line="30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B543D9C" w14:textId="5D1E29B5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</w:p>
        </w:tc>
        <w:tc>
          <w:tcPr>
            <w:tcW w:w="814" w:type="dxa"/>
          </w:tcPr>
          <w:p w14:paraId="6F28677B" w14:textId="7FAE4F1E" w:rsidR="009353FE" w:rsidRPr="009A5A53" w:rsidRDefault="009353FE" w:rsidP="0016777E">
            <w:pPr>
              <w:spacing w:before="120" w:after="120" w:line="300" w:lineRule="auto"/>
              <w:rPr>
                <w:color w:val="000000" w:themeColor="text1"/>
              </w:rPr>
            </w:pPr>
          </w:p>
        </w:tc>
      </w:tr>
      <w:tr w:rsidR="0016777E" w:rsidRPr="009A5A53" w14:paraId="17E5585F" w14:textId="25CFDF2E" w:rsidTr="00B91278">
        <w:tc>
          <w:tcPr>
            <w:tcW w:w="821" w:type="dxa"/>
          </w:tcPr>
          <w:p w14:paraId="4F0D1FC1" w14:textId="29048480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 w:rsidRPr="009A5A53">
              <w:rPr>
                <w:color w:val="000000" w:themeColor="text1"/>
              </w:rPr>
              <w:t>4.</w:t>
            </w:r>
          </w:p>
        </w:tc>
        <w:tc>
          <w:tcPr>
            <w:tcW w:w="1868" w:type="dxa"/>
            <w:shd w:val="clear" w:color="auto" w:fill="auto"/>
          </w:tcPr>
          <w:p w14:paraId="4AE6DAD8" w14:textId="3ADE66B4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lang w:eastAsia="en-US"/>
              </w:rPr>
              <w:t>External Audit report</w:t>
            </w:r>
          </w:p>
        </w:tc>
        <w:tc>
          <w:tcPr>
            <w:tcW w:w="7512" w:type="dxa"/>
          </w:tcPr>
          <w:p w14:paraId="149950CD" w14:textId="217DB88F" w:rsidR="0065129A" w:rsidRDefault="0065129A" w:rsidP="0065129A">
            <w:pPr>
              <w:pStyle w:val="ListParagraph"/>
              <w:numPr>
                <w:ilvl w:val="0"/>
                <w:numId w:val="23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AAB provided their final comments and review of the SPSO Annual Report and Accounts.  The AAB noted that the report read very well, with a balanced presentation and clear language.  The AAB </w:t>
            </w:r>
            <w:r w:rsidR="001E1C82">
              <w:rPr>
                <w:color w:val="000000" w:themeColor="text1"/>
              </w:rPr>
              <w:t xml:space="preserve">provided helpful editing suggestions, and </w:t>
            </w:r>
            <w:r>
              <w:rPr>
                <w:color w:val="000000" w:themeColor="text1"/>
              </w:rPr>
              <w:t xml:space="preserve">noted the movement of </w:t>
            </w:r>
            <w:r w:rsidR="001E1C82">
              <w:rPr>
                <w:color w:val="000000" w:themeColor="text1"/>
              </w:rPr>
              <w:t xml:space="preserve">case </w:t>
            </w:r>
            <w:r>
              <w:rPr>
                <w:color w:val="000000" w:themeColor="text1"/>
              </w:rPr>
              <w:t>proportion between SWF categories</w:t>
            </w:r>
            <w:r w:rsidR="001E1C82">
              <w:rPr>
                <w:color w:val="000000" w:themeColor="text1"/>
              </w:rPr>
              <w:t>.  Th</w:t>
            </w:r>
            <w:r w:rsidR="00DF5559">
              <w:rPr>
                <w:color w:val="000000" w:themeColor="text1"/>
              </w:rPr>
              <w:t xml:space="preserve">e AAB noted this </w:t>
            </w:r>
            <w:r w:rsidR="001E1C82">
              <w:rPr>
                <w:color w:val="000000" w:themeColor="text1"/>
              </w:rPr>
              <w:t xml:space="preserve">example of </w:t>
            </w:r>
            <w:r w:rsidR="001E1C82">
              <w:rPr>
                <w:color w:val="000000" w:themeColor="text1"/>
              </w:rPr>
              <w:lastRenderedPageBreak/>
              <w:t xml:space="preserve">shift in case type presents an </w:t>
            </w:r>
            <w:r>
              <w:rPr>
                <w:color w:val="000000" w:themeColor="text1"/>
              </w:rPr>
              <w:t xml:space="preserve">opportunity to </w:t>
            </w:r>
            <w:r w:rsidR="001E1C82">
              <w:rPr>
                <w:color w:val="000000" w:themeColor="text1"/>
              </w:rPr>
              <w:t xml:space="preserve">draw out the </w:t>
            </w:r>
            <w:r w:rsidR="00964F74">
              <w:rPr>
                <w:color w:val="000000" w:themeColor="text1"/>
              </w:rPr>
              <w:t xml:space="preserve">impact on office workflow and resource </w:t>
            </w:r>
            <w:r w:rsidR="001E1C82">
              <w:rPr>
                <w:color w:val="000000" w:themeColor="text1"/>
              </w:rPr>
              <w:t>planning implications.</w:t>
            </w:r>
          </w:p>
          <w:p w14:paraId="40F713A8" w14:textId="591FF5D4" w:rsidR="001E1C82" w:rsidRDefault="008217CF" w:rsidP="0065129A">
            <w:pPr>
              <w:pStyle w:val="ListParagraph"/>
              <w:numPr>
                <w:ilvl w:val="0"/>
                <w:numId w:val="23"/>
              </w:numPr>
              <w:spacing w:before="120" w:after="120" w:line="300" w:lineRule="auto"/>
              <w:rPr>
                <w:color w:val="000000" w:themeColor="text1"/>
              </w:rPr>
            </w:pPr>
            <w:r w:rsidRPr="0065129A">
              <w:rPr>
                <w:color w:val="000000" w:themeColor="text1"/>
              </w:rPr>
              <w:t xml:space="preserve">The </w:t>
            </w:r>
            <w:r w:rsidR="001E1C82">
              <w:rPr>
                <w:color w:val="000000" w:themeColor="text1"/>
              </w:rPr>
              <w:t>Ombudsman expressed thanks to all colleagues who contributed to the completion of the document.</w:t>
            </w:r>
          </w:p>
          <w:p w14:paraId="717B0555" w14:textId="43341ADB" w:rsidR="009353FE" w:rsidRPr="0065129A" w:rsidRDefault="008217CF" w:rsidP="0065129A">
            <w:pPr>
              <w:pStyle w:val="ListParagraph"/>
              <w:numPr>
                <w:ilvl w:val="0"/>
                <w:numId w:val="23"/>
              </w:numPr>
              <w:spacing w:before="120" w:after="120" w:line="300" w:lineRule="auto"/>
              <w:rPr>
                <w:color w:val="000000" w:themeColor="text1"/>
              </w:rPr>
            </w:pPr>
            <w:r w:rsidRPr="0065129A">
              <w:rPr>
                <w:color w:val="000000" w:themeColor="text1"/>
              </w:rPr>
              <w:t xml:space="preserve">External Auditor outlined the key messages from the </w:t>
            </w:r>
            <w:r w:rsidR="00312327" w:rsidRPr="0065129A">
              <w:rPr>
                <w:color w:val="000000" w:themeColor="text1"/>
              </w:rPr>
              <w:t xml:space="preserve">Audit </w:t>
            </w:r>
            <w:r w:rsidRPr="0065129A">
              <w:rPr>
                <w:color w:val="000000" w:themeColor="text1"/>
              </w:rPr>
              <w:t>Report.</w:t>
            </w:r>
          </w:p>
          <w:p w14:paraId="5540E440" w14:textId="705F8F2C" w:rsidR="0071021C" w:rsidRPr="0065129A" w:rsidRDefault="00964F74" w:rsidP="00964F74">
            <w:pPr>
              <w:pStyle w:val="ListParagraph"/>
              <w:numPr>
                <w:ilvl w:val="0"/>
                <w:numId w:val="23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1A070B">
              <w:rPr>
                <w:color w:val="000000" w:themeColor="text1"/>
              </w:rPr>
              <w:t>he AAB suggested, for completeness, including a few sentences</w:t>
            </w:r>
            <w:r>
              <w:rPr>
                <w:color w:val="000000" w:themeColor="text1"/>
              </w:rPr>
              <w:t xml:space="preserve"> about the accommodation move project, as this was a major financial undertaking and the audit report makes up part of the historic corporate record of the organisation.</w:t>
            </w:r>
          </w:p>
        </w:tc>
        <w:tc>
          <w:tcPr>
            <w:tcW w:w="1843" w:type="dxa"/>
          </w:tcPr>
          <w:p w14:paraId="68095CB4" w14:textId="102FB007" w:rsidR="009353FE" w:rsidRPr="009A5A53" w:rsidRDefault="0016777E" w:rsidP="009353FE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 Formal recording of the approved approach.</w:t>
            </w:r>
          </w:p>
        </w:tc>
        <w:tc>
          <w:tcPr>
            <w:tcW w:w="1134" w:type="dxa"/>
          </w:tcPr>
          <w:p w14:paraId="7ED37C7E" w14:textId="10F7FE7A" w:rsidR="009353FE" w:rsidRPr="009A5A53" w:rsidRDefault="0016777E" w:rsidP="0016777E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05/19</w:t>
            </w:r>
          </w:p>
        </w:tc>
        <w:tc>
          <w:tcPr>
            <w:tcW w:w="814" w:type="dxa"/>
          </w:tcPr>
          <w:p w14:paraId="32B1AD65" w14:textId="6108BA44" w:rsidR="009353FE" w:rsidRPr="009A5A53" w:rsidRDefault="0016777E" w:rsidP="0016777E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Dir</w:t>
            </w:r>
          </w:p>
        </w:tc>
      </w:tr>
      <w:tr w:rsidR="0016777E" w:rsidRPr="009A5A53" w14:paraId="50E4FA44" w14:textId="5EE2E4CF" w:rsidTr="00B91278">
        <w:tc>
          <w:tcPr>
            <w:tcW w:w="821" w:type="dxa"/>
          </w:tcPr>
          <w:p w14:paraId="07CE8BA7" w14:textId="28EC4D7C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 w:rsidRPr="009A5A53">
              <w:rPr>
                <w:color w:val="000000" w:themeColor="text1"/>
              </w:rPr>
              <w:t>5.</w:t>
            </w:r>
          </w:p>
        </w:tc>
        <w:tc>
          <w:tcPr>
            <w:tcW w:w="1868" w:type="dxa"/>
            <w:shd w:val="clear" w:color="auto" w:fill="auto"/>
          </w:tcPr>
          <w:p w14:paraId="7ABE6C78" w14:textId="0116CF53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lang w:eastAsia="en-US"/>
              </w:rPr>
              <w:t>Internal Audit report</w:t>
            </w:r>
          </w:p>
        </w:tc>
        <w:tc>
          <w:tcPr>
            <w:tcW w:w="7512" w:type="dxa"/>
          </w:tcPr>
          <w:p w14:paraId="673D604D" w14:textId="77777777" w:rsidR="00D36EEA" w:rsidRDefault="00E3477B" w:rsidP="00DC39AC">
            <w:pPr>
              <w:pStyle w:val="ListParagraph"/>
              <w:numPr>
                <w:ilvl w:val="0"/>
                <w:numId w:val="25"/>
              </w:numPr>
              <w:spacing w:before="120" w:after="120" w:line="300" w:lineRule="auto"/>
              <w:rPr>
                <w:color w:val="000000" w:themeColor="text1"/>
              </w:rPr>
            </w:pPr>
            <w:r w:rsidRPr="00DC39AC">
              <w:rPr>
                <w:color w:val="000000" w:themeColor="text1"/>
              </w:rPr>
              <w:t xml:space="preserve">The Internal Auditor provided </w:t>
            </w:r>
            <w:r w:rsidR="00DC39AC">
              <w:rPr>
                <w:color w:val="000000" w:themeColor="text1"/>
              </w:rPr>
              <w:t xml:space="preserve">an outline of the </w:t>
            </w:r>
            <w:r w:rsidR="00253741">
              <w:rPr>
                <w:color w:val="000000" w:themeColor="text1"/>
              </w:rPr>
              <w:t>audit</w:t>
            </w:r>
            <w:r w:rsidR="00DC39AC">
              <w:rPr>
                <w:color w:val="000000" w:themeColor="text1"/>
              </w:rPr>
              <w:t xml:space="preserve"> undertakings</w:t>
            </w:r>
            <w:r w:rsidR="00253741">
              <w:rPr>
                <w:color w:val="000000" w:themeColor="text1"/>
              </w:rPr>
              <w:t xml:space="preserve"> and outcomes</w:t>
            </w:r>
            <w:r w:rsidR="00DC39AC">
              <w:rPr>
                <w:color w:val="000000" w:themeColor="text1"/>
              </w:rPr>
              <w:t xml:space="preserve"> </w:t>
            </w:r>
            <w:r w:rsidR="00253741">
              <w:rPr>
                <w:color w:val="000000" w:themeColor="text1"/>
              </w:rPr>
              <w:t>for the year-to-date</w:t>
            </w:r>
            <w:r w:rsidR="00D36EEA">
              <w:rPr>
                <w:color w:val="000000" w:themeColor="text1"/>
              </w:rPr>
              <w:t xml:space="preserve">: Payroll, Risk Management, </w:t>
            </w:r>
            <w:proofErr w:type="gramStart"/>
            <w:r w:rsidR="00D36EEA">
              <w:rPr>
                <w:color w:val="000000" w:themeColor="text1"/>
              </w:rPr>
              <w:t>Business</w:t>
            </w:r>
            <w:proofErr w:type="gramEnd"/>
            <w:r w:rsidR="00D36EEA">
              <w:rPr>
                <w:color w:val="000000" w:themeColor="text1"/>
              </w:rPr>
              <w:t xml:space="preserve"> Continuity and IS Installation</w:t>
            </w:r>
            <w:r w:rsidR="00253741">
              <w:rPr>
                <w:color w:val="000000" w:themeColor="text1"/>
              </w:rPr>
              <w:t xml:space="preserve">.  </w:t>
            </w:r>
          </w:p>
          <w:p w14:paraId="0F893C80" w14:textId="5490C58B" w:rsidR="00253741" w:rsidRDefault="00253741" w:rsidP="00DC39AC">
            <w:pPr>
              <w:pStyle w:val="ListParagraph"/>
              <w:numPr>
                <w:ilvl w:val="0"/>
                <w:numId w:val="25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</w:t>
            </w:r>
            <w:r w:rsidR="00706F16">
              <w:rPr>
                <w:color w:val="000000" w:themeColor="text1"/>
              </w:rPr>
              <w:t>I</w:t>
            </w:r>
            <w:r w:rsidR="00706F16" w:rsidRPr="00DC39AC">
              <w:rPr>
                <w:color w:val="000000" w:themeColor="text1"/>
              </w:rPr>
              <w:t xml:space="preserve">nternal </w:t>
            </w:r>
            <w:r>
              <w:rPr>
                <w:color w:val="000000" w:themeColor="text1"/>
              </w:rPr>
              <w:t xml:space="preserve">Auditor confirmed Payroll </w:t>
            </w:r>
            <w:proofErr w:type="gramStart"/>
            <w:r>
              <w:rPr>
                <w:color w:val="000000" w:themeColor="text1"/>
              </w:rPr>
              <w:t>is audited</w:t>
            </w:r>
            <w:proofErr w:type="gramEnd"/>
            <w:r>
              <w:rPr>
                <w:color w:val="000000" w:themeColor="text1"/>
              </w:rPr>
              <w:t xml:space="preserve"> every year, despite steady outcomes, as the risk assessment for this financial process is such that if anything were to go wrong the impact would be substantial.</w:t>
            </w:r>
          </w:p>
          <w:p w14:paraId="08F25398" w14:textId="2049304E" w:rsidR="00253741" w:rsidRDefault="00253741" w:rsidP="00DC39AC">
            <w:pPr>
              <w:pStyle w:val="ListParagraph"/>
              <w:numPr>
                <w:ilvl w:val="0"/>
                <w:numId w:val="25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AAB </w:t>
            </w:r>
            <w:r w:rsidR="00D931C4">
              <w:rPr>
                <w:color w:val="000000" w:themeColor="text1"/>
              </w:rPr>
              <w:t>discussed</w:t>
            </w:r>
            <w:r>
              <w:rPr>
                <w:color w:val="000000" w:themeColor="text1"/>
              </w:rPr>
              <w:t xml:space="preserve"> the robustness</w:t>
            </w:r>
            <w:r w:rsidR="00D931C4">
              <w:rPr>
                <w:color w:val="000000" w:themeColor="text1"/>
              </w:rPr>
              <w:t xml:space="preserve"> of SPSO</w:t>
            </w:r>
            <w:r>
              <w:rPr>
                <w:color w:val="000000" w:themeColor="text1"/>
              </w:rPr>
              <w:t xml:space="preserve"> </w:t>
            </w:r>
            <w:r w:rsidR="00D36EEA">
              <w:rPr>
                <w:color w:val="000000" w:themeColor="text1"/>
              </w:rPr>
              <w:t xml:space="preserve">relationship with the payroll </w:t>
            </w:r>
            <w:r>
              <w:rPr>
                <w:color w:val="000000" w:themeColor="text1"/>
              </w:rPr>
              <w:t>contractor</w:t>
            </w:r>
            <w:r w:rsidR="00D931C4">
              <w:rPr>
                <w:color w:val="000000" w:themeColor="text1"/>
              </w:rPr>
              <w:t xml:space="preserve">, and it </w:t>
            </w:r>
            <w:proofErr w:type="gramStart"/>
            <w:r w:rsidR="00D931C4">
              <w:rPr>
                <w:color w:val="000000" w:themeColor="text1"/>
              </w:rPr>
              <w:t>was confirmed</w:t>
            </w:r>
            <w:proofErr w:type="gramEnd"/>
            <w:r w:rsidR="00D931C4">
              <w:rPr>
                <w:color w:val="000000" w:themeColor="text1"/>
              </w:rPr>
              <w:t xml:space="preserve"> there are currently no issues to report despite the experience of other organisations.  In addition, it </w:t>
            </w:r>
            <w:proofErr w:type="gramStart"/>
            <w:r w:rsidR="00D931C4">
              <w:rPr>
                <w:color w:val="000000" w:themeColor="text1"/>
              </w:rPr>
              <w:t>was observed</w:t>
            </w:r>
            <w:proofErr w:type="gramEnd"/>
            <w:r w:rsidR="00D931C4">
              <w:rPr>
                <w:color w:val="000000" w:themeColor="text1"/>
              </w:rPr>
              <w:t xml:space="preserve"> the contractor provided additional support to the Mat-leave cover</w:t>
            </w:r>
            <w:r w:rsidR="00D36EEA">
              <w:rPr>
                <w:color w:val="000000" w:themeColor="text1"/>
              </w:rPr>
              <w:t xml:space="preserve"> in the previous year</w:t>
            </w:r>
            <w:r w:rsidR="00D931C4">
              <w:rPr>
                <w:color w:val="000000" w:themeColor="text1"/>
              </w:rPr>
              <w:t>, beyond contractual obligations</w:t>
            </w:r>
            <w:r w:rsidR="00D36EEA">
              <w:rPr>
                <w:color w:val="000000" w:themeColor="text1"/>
              </w:rPr>
              <w:t xml:space="preserve"> or expectations</w:t>
            </w:r>
            <w:r w:rsidR="00D931C4">
              <w:rPr>
                <w:color w:val="000000" w:themeColor="text1"/>
              </w:rPr>
              <w:t>.</w:t>
            </w:r>
          </w:p>
          <w:p w14:paraId="638FB3B4" w14:textId="79D8E6BA" w:rsidR="00253741" w:rsidRDefault="00D931C4" w:rsidP="00DC39AC">
            <w:pPr>
              <w:pStyle w:val="ListParagraph"/>
              <w:numPr>
                <w:ilvl w:val="0"/>
                <w:numId w:val="25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AAB discussed the Risk Management audit process and the new Scottish Government </w:t>
            </w:r>
            <w:proofErr w:type="gramStart"/>
            <w:r>
              <w:rPr>
                <w:color w:val="000000" w:themeColor="text1"/>
              </w:rPr>
              <w:t>guidance which</w:t>
            </w:r>
            <w:proofErr w:type="gramEnd"/>
            <w:r>
              <w:rPr>
                <w:color w:val="000000" w:themeColor="text1"/>
              </w:rPr>
              <w:t xml:space="preserve">, it was noted, had not yet been </w:t>
            </w:r>
            <w:r>
              <w:rPr>
                <w:color w:val="000000" w:themeColor="text1"/>
              </w:rPr>
              <w:lastRenderedPageBreak/>
              <w:t>incorporated into the best value tool kit used for these assessments.</w:t>
            </w:r>
            <w:r w:rsidR="00D36EEA">
              <w:rPr>
                <w:color w:val="000000" w:themeColor="text1"/>
              </w:rPr>
              <w:t xml:space="preserve">  It </w:t>
            </w:r>
            <w:proofErr w:type="gramStart"/>
            <w:r w:rsidR="00D36EEA">
              <w:rPr>
                <w:color w:val="000000" w:themeColor="text1"/>
              </w:rPr>
              <w:t>was expected</w:t>
            </w:r>
            <w:proofErr w:type="gramEnd"/>
            <w:r w:rsidR="00D36EEA">
              <w:rPr>
                <w:color w:val="000000" w:themeColor="text1"/>
              </w:rPr>
              <w:t xml:space="preserve"> this gap would be resolved in the coming year’s assessment.</w:t>
            </w:r>
          </w:p>
          <w:p w14:paraId="3A1D8776" w14:textId="3E1075A2" w:rsidR="00D931C4" w:rsidRDefault="00D931C4" w:rsidP="00DC39AC">
            <w:pPr>
              <w:pStyle w:val="ListParagraph"/>
              <w:numPr>
                <w:ilvl w:val="0"/>
                <w:numId w:val="25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AAB asked, given the gravitas the work requires, was the management response appropriate and </w:t>
            </w:r>
            <w:proofErr w:type="gramStart"/>
            <w:r>
              <w:rPr>
                <w:color w:val="000000" w:themeColor="text1"/>
              </w:rPr>
              <w:t>involved?</w:t>
            </w:r>
            <w:proofErr w:type="gramEnd"/>
            <w:r>
              <w:rPr>
                <w:color w:val="000000" w:themeColor="text1"/>
              </w:rPr>
              <w:t xml:space="preserve">  The Auditor noted there was a culture </w:t>
            </w:r>
            <w:r w:rsidR="00D36EEA">
              <w:rPr>
                <w:color w:val="000000" w:themeColor="text1"/>
              </w:rPr>
              <w:t>of</w:t>
            </w:r>
            <w:r>
              <w:rPr>
                <w:color w:val="000000" w:themeColor="text1"/>
              </w:rPr>
              <w:t xml:space="preserve"> embedded risk management throughout the organisa</w:t>
            </w:r>
            <w:r w:rsidR="00D36EEA">
              <w:rPr>
                <w:color w:val="000000" w:themeColor="text1"/>
              </w:rPr>
              <w:t>tion, with effective controls.</w:t>
            </w:r>
          </w:p>
          <w:p w14:paraId="5A10D63C" w14:textId="5A58584A" w:rsidR="00E3477B" w:rsidRDefault="00D931C4" w:rsidP="00D36EEA">
            <w:pPr>
              <w:pStyle w:val="ListParagraph"/>
              <w:numPr>
                <w:ilvl w:val="0"/>
                <w:numId w:val="25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Ombudsman responded by explaining that risk management begins with the strategic plan and accompanying risk register.  The annual business plans </w:t>
            </w:r>
            <w:proofErr w:type="gramStart"/>
            <w:r>
              <w:rPr>
                <w:color w:val="000000" w:themeColor="text1"/>
              </w:rPr>
              <w:t>are linked</w:t>
            </w:r>
            <w:proofErr w:type="gramEnd"/>
            <w:r>
              <w:rPr>
                <w:color w:val="000000" w:themeColor="text1"/>
              </w:rPr>
              <w:t xml:space="preserve"> directly to the operational risk register and risk assessments are provided for all additional work and projects.  Risks </w:t>
            </w:r>
            <w:proofErr w:type="gramStart"/>
            <w:r>
              <w:rPr>
                <w:color w:val="000000" w:themeColor="text1"/>
              </w:rPr>
              <w:t>are updated</w:t>
            </w:r>
            <w:proofErr w:type="gramEnd"/>
            <w:r>
              <w:rPr>
                <w:color w:val="000000" w:themeColor="text1"/>
              </w:rPr>
              <w:t xml:space="preserve"> in real time following Leadership Team meetings.</w:t>
            </w:r>
          </w:p>
          <w:p w14:paraId="0A3FFFE1" w14:textId="1EEE6310" w:rsidR="00C9427A" w:rsidRDefault="00C9427A" w:rsidP="00D36EEA">
            <w:pPr>
              <w:pStyle w:val="ListParagraph"/>
              <w:numPr>
                <w:ilvl w:val="0"/>
                <w:numId w:val="25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AAB noted the Business Continuity Plan </w:t>
            </w:r>
            <w:proofErr w:type="gramStart"/>
            <w:r>
              <w:rPr>
                <w:color w:val="000000" w:themeColor="text1"/>
              </w:rPr>
              <w:t>was significantly updated</w:t>
            </w:r>
            <w:proofErr w:type="gramEnd"/>
            <w:r>
              <w:rPr>
                <w:color w:val="000000" w:themeColor="text1"/>
              </w:rPr>
              <w:t xml:space="preserve"> following the move to Bridgeside House and the resulting changes to working processes.  The AAB noted that they would like to see more testing of the elements of the new </w:t>
            </w:r>
            <w:proofErr w:type="spellStart"/>
            <w:r>
              <w:rPr>
                <w:color w:val="000000" w:themeColor="text1"/>
              </w:rPr>
              <w:t>BCP</w:t>
            </w:r>
            <w:proofErr w:type="spellEnd"/>
            <w:r>
              <w:rPr>
                <w:color w:val="000000" w:themeColor="text1"/>
              </w:rPr>
              <w:t>, as is proportionate to the type of service delivered by the organisation.</w:t>
            </w:r>
          </w:p>
          <w:p w14:paraId="73A27F88" w14:textId="1FBCF599" w:rsidR="008E3B81" w:rsidRDefault="008E3B81" w:rsidP="008E3B81">
            <w:pPr>
              <w:pStyle w:val="ListParagraph"/>
              <w:numPr>
                <w:ilvl w:val="0"/>
                <w:numId w:val="25"/>
              </w:numPr>
              <w:spacing w:before="120" w:after="120" w:line="300" w:lineRule="auto"/>
              <w:rPr>
                <w:color w:val="000000" w:themeColor="text1"/>
              </w:rPr>
            </w:pPr>
            <w:r w:rsidRPr="008E3B81">
              <w:rPr>
                <w:color w:val="000000" w:themeColor="text1"/>
              </w:rPr>
              <w:t xml:space="preserve">The AAB noted that the internal auditor, having discovered that the SPSO servers were located at a location in Hamilton and not at </w:t>
            </w:r>
            <w:proofErr w:type="spellStart"/>
            <w:r w:rsidRPr="008E3B81">
              <w:rPr>
                <w:color w:val="000000" w:themeColor="text1"/>
              </w:rPr>
              <w:t>Saughton</w:t>
            </w:r>
            <w:proofErr w:type="spellEnd"/>
            <w:r w:rsidRPr="008E3B81">
              <w:rPr>
                <w:color w:val="000000" w:themeColor="text1"/>
              </w:rPr>
              <w:t xml:space="preserve"> House Edinburgh, did not review the security arrangements at that site and therefore did not report upon that. </w:t>
            </w:r>
            <w:r>
              <w:rPr>
                <w:color w:val="000000" w:themeColor="text1"/>
              </w:rPr>
              <w:t xml:space="preserve"> </w:t>
            </w:r>
            <w:r w:rsidRPr="008E3B81">
              <w:rPr>
                <w:color w:val="000000" w:themeColor="text1"/>
              </w:rPr>
              <w:t>The internal auditor confirmed that the correct location of the SPSO servers in the Hamilton site was not known and therefore not addressed in the previous internal audit report either.</w:t>
            </w:r>
          </w:p>
          <w:p w14:paraId="04686407" w14:textId="4BD7314D" w:rsidR="00D36EEA" w:rsidRDefault="00D36EEA" w:rsidP="00D36EEA">
            <w:pPr>
              <w:pStyle w:val="ListParagraph"/>
              <w:numPr>
                <w:ilvl w:val="0"/>
                <w:numId w:val="25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The AAB noted that no service reports had been received for a very significant </w:t>
            </w:r>
            <w:proofErr w:type="gramStart"/>
            <w:r>
              <w:rPr>
                <w:color w:val="000000" w:themeColor="text1"/>
              </w:rPr>
              <w:t>period of time</w:t>
            </w:r>
            <w:proofErr w:type="gramEnd"/>
            <w:r>
              <w:rPr>
                <w:color w:val="000000" w:themeColor="text1"/>
              </w:rPr>
              <w:t xml:space="preserve">, as contractually agreed.  </w:t>
            </w:r>
          </w:p>
          <w:p w14:paraId="7BED4DE5" w14:textId="0D428D4A" w:rsidR="00D36EEA" w:rsidRPr="00D36EEA" w:rsidRDefault="00B91278" w:rsidP="00D36EEA">
            <w:pPr>
              <w:pStyle w:val="ListParagraph"/>
              <w:numPr>
                <w:ilvl w:val="0"/>
                <w:numId w:val="25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These two concerns mak</w:t>
            </w:r>
            <w:r w:rsidR="00D36EEA">
              <w:rPr>
                <w:color w:val="000000" w:themeColor="text1"/>
              </w:rPr>
              <w:t xml:space="preserve">e it difficult for the Ombudsman to take assurance from the audit of </w:t>
            </w:r>
            <w:r>
              <w:rPr>
                <w:color w:val="000000" w:themeColor="text1"/>
              </w:rPr>
              <w:t xml:space="preserve">this </w:t>
            </w:r>
            <w:r w:rsidR="00D36EEA">
              <w:rPr>
                <w:color w:val="000000" w:themeColor="text1"/>
              </w:rPr>
              <w:t>major contracted service.</w:t>
            </w:r>
          </w:p>
        </w:tc>
        <w:tc>
          <w:tcPr>
            <w:tcW w:w="1843" w:type="dxa"/>
          </w:tcPr>
          <w:p w14:paraId="547C02E3" w14:textId="196FA1AB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32DB540" w14:textId="77777777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</w:p>
        </w:tc>
        <w:tc>
          <w:tcPr>
            <w:tcW w:w="814" w:type="dxa"/>
          </w:tcPr>
          <w:p w14:paraId="4170BF8D" w14:textId="374D3B64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</w:p>
        </w:tc>
      </w:tr>
      <w:tr w:rsidR="0016777E" w:rsidRPr="009A5A53" w14:paraId="54FA7738" w14:textId="5946DCA8" w:rsidTr="00B91278">
        <w:tc>
          <w:tcPr>
            <w:tcW w:w="821" w:type="dxa"/>
          </w:tcPr>
          <w:p w14:paraId="1B83BE0B" w14:textId="49CC2250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 w:rsidRPr="009A5A53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1868" w:type="dxa"/>
            <w:shd w:val="clear" w:color="auto" w:fill="auto"/>
          </w:tcPr>
          <w:p w14:paraId="7E4FA150" w14:textId="631C6503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lang w:eastAsia="en-US"/>
              </w:rPr>
              <w:t>Risk, Incident and Issues report; including Business Plan performance.</w:t>
            </w:r>
          </w:p>
        </w:tc>
        <w:tc>
          <w:tcPr>
            <w:tcW w:w="7512" w:type="dxa"/>
          </w:tcPr>
          <w:p w14:paraId="774874BE" w14:textId="77777777" w:rsidR="00706F16" w:rsidRDefault="00706F16" w:rsidP="00706F16">
            <w:pPr>
              <w:pStyle w:val="ListParagraph"/>
              <w:numPr>
                <w:ilvl w:val="0"/>
                <w:numId w:val="27"/>
              </w:num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Ombudsman updated the AAB on the revised operational risks for quarter two, in particular, those relating to resourcing.</w:t>
            </w:r>
          </w:p>
          <w:p w14:paraId="4A8EC8BA" w14:textId="257C9336" w:rsidR="00C34678" w:rsidRPr="00706F16" w:rsidRDefault="00C34678" w:rsidP="00706F16">
            <w:pPr>
              <w:pStyle w:val="ListParagraph"/>
              <w:numPr>
                <w:ilvl w:val="0"/>
                <w:numId w:val="27"/>
              </w:numPr>
              <w:spacing w:before="120" w:after="120" w:line="300" w:lineRule="auto"/>
              <w:rPr>
                <w:color w:val="000000" w:themeColor="text1"/>
              </w:rPr>
            </w:pPr>
            <w:r w:rsidRPr="00706F16">
              <w:rPr>
                <w:color w:val="000000" w:themeColor="text1"/>
              </w:rPr>
              <w:t>The AAB discussed the strategic risk</w:t>
            </w:r>
            <w:r w:rsidR="00C9427A" w:rsidRPr="00706F16">
              <w:rPr>
                <w:color w:val="000000" w:themeColor="text1"/>
              </w:rPr>
              <w:t xml:space="preserve">s, in particular, </w:t>
            </w:r>
            <w:proofErr w:type="spellStart"/>
            <w:r w:rsidR="00C9427A" w:rsidRPr="00706F16">
              <w:rPr>
                <w:color w:val="000000" w:themeColor="text1"/>
              </w:rPr>
              <w:t>SR4</w:t>
            </w:r>
            <w:proofErr w:type="spellEnd"/>
            <w:r w:rsidRPr="00706F16">
              <w:rPr>
                <w:color w:val="000000" w:themeColor="text1"/>
              </w:rPr>
              <w:t xml:space="preserve"> relating to funding and resources</w:t>
            </w:r>
            <w:r w:rsidR="00C9427A" w:rsidRPr="00706F16">
              <w:rPr>
                <w:color w:val="000000" w:themeColor="text1"/>
              </w:rPr>
              <w:t>.  T</w:t>
            </w:r>
            <w:r w:rsidRPr="00706F16">
              <w:rPr>
                <w:color w:val="000000" w:themeColor="text1"/>
              </w:rPr>
              <w:t xml:space="preserve">he AAB suggested </w:t>
            </w:r>
            <w:r w:rsidR="00706F16">
              <w:rPr>
                <w:color w:val="000000" w:themeColor="text1"/>
              </w:rPr>
              <w:t>expanding the wording to cover the statutory and non-statutory requirements.</w:t>
            </w:r>
          </w:p>
        </w:tc>
        <w:tc>
          <w:tcPr>
            <w:tcW w:w="1843" w:type="dxa"/>
          </w:tcPr>
          <w:p w14:paraId="7B61E455" w14:textId="05AFA643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C7F7B79" w14:textId="77777777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</w:p>
        </w:tc>
        <w:tc>
          <w:tcPr>
            <w:tcW w:w="814" w:type="dxa"/>
          </w:tcPr>
          <w:p w14:paraId="0E8BFE7D" w14:textId="7FC5293E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</w:p>
        </w:tc>
      </w:tr>
      <w:tr w:rsidR="0016777E" w:rsidRPr="009A5A53" w14:paraId="6AFD2634" w14:textId="15A8C163" w:rsidTr="00B91278">
        <w:tc>
          <w:tcPr>
            <w:tcW w:w="821" w:type="dxa"/>
          </w:tcPr>
          <w:p w14:paraId="347FBFD2" w14:textId="65E0E52F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 w:rsidRPr="009A5A53">
              <w:rPr>
                <w:color w:val="000000" w:themeColor="text1"/>
              </w:rPr>
              <w:t>7.</w:t>
            </w:r>
          </w:p>
        </w:tc>
        <w:tc>
          <w:tcPr>
            <w:tcW w:w="1868" w:type="dxa"/>
          </w:tcPr>
          <w:p w14:paraId="43EB9551" w14:textId="38A3763A" w:rsidR="009353FE" w:rsidRPr="009A5A53" w:rsidRDefault="009353FE" w:rsidP="009353FE">
            <w:pPr>
              <w:spacing w:before="120" w:after="120" w:line="300" w:lineRule="auto"/>
              <w:rPr>
                <w:color w:val="000000" w:themeColor="text1"/>
              </w:rPr>
            </w:pPr>
            <w:r w:rsidRPr="009A5A53">
              <w:rPr>
                <w:color w:val="000000" w:themeColor="text1"/>
              </w:rPr>
              <w:t>AOB</w:t>
            </w:r>
          </w:p>
        </w:tc>
        <w:tc>
          <w:tcPr>
            <w:tcW w:w="7512" w:type="dxa"/>
          </w:tcPr>
          <w:p w14:paraId="3241CA3A" w14:textId="5242CE71" w:rsidR="00833FC9" w:rsidRPr="00057905" w:rsidRDefault="00706F16" w:rsidP="00833FC9">
            <w:pPr>
              <w:pStyle w:val="ListParagraph"/>
              <w:numPr>
                <w:ilvl w:val="0"/>
                <w:numId w:val="29"/>
              </w:numPr>
              <w:spacing w:before="120" w:after="120" w:line="300" w:lineRule="auto"/>
              <w:rPr>
                <w:color w:val="000000" w:themeColor="text1"/>
              </w:rPr>
            </w:pPr>
            <w:r w:rsidRPr="00706F16">
              <w:rPr>
                <w:color w:val="000000" w:themeColor="text1"/>
              </w:rPr>
              <w:t xml:space="preserve">Director </w:t>
            </w:r>
            <w:r w:rsidR="00057905">
              <w:rPr>
                <w:color w:val="000000" w:themeColor="text1"/>
              </w:rPr>
              <w:t>confirmed she would provide a report on the Prevention of Fraud, in conjunction with the internal audit report on anti-bribery, fraud and corruption.</w:t>
            </w:r>
          </w:p>
        </w:tc>
        <w:tc>
          <w:tcPr>
            <w:tcW w:w="1843" w:type="dxa"/>
          </w:tcPr>
          <w:p w14:paraId="248285C1" w14:textId="48712EA9" w:rsidR="009353FE" w:rsidRPr="009A5A53" w:rsidRDefault="00833FC9" w:rsidP="009353FE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Produce a paper on approach to the avoidance of fraud.</w:t>
            </w:r>
          </w:p>
        </w:tc>
        <w:tc>
          <w:tcPr>
            <w:tcW w:w="1134" w:type="dxa"/>
          </w:tcPr>
          <w:p w14:paraId="11E5E21F" w14:textId="26883992" w:rsidR="009353FE" w:rsidRPr="009A5A53" w:rsidRDefault="00833FC9" w:rsidP="00057905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="00057905">
              <w:rPr>
                <w:color w:val="000000" w:themeColor="text1"/>
              </w:rPr>
              <w:t>Mar 20</w:t>
            </w:r>
          </w:p>
        </w:tc>
        <w:tc>
          <w:tcPr>
            <w:tcW w:w="814" w:type="dxa"/>
          </w:tcPr>
          <w:p w14:paraId="060FB5F4" w14:textId="6D1B6783" w:rsidR="009353FE" w:rsidRPr="009A5A53" w:rsidRDefault="00833FC9" w:rsidP="009353FE">
            <w:pPr>
              <w:spacing w:before="120" w:after="120"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</w:t>
            </w:r>
          </w:p>
        </w:tc>
      </w:tr>
    </w:tbl>
    <w:p w14:paraId="4FAFCE4D" w14:textId="77777777" w:rsidR="00897EFA" w:rsidRDefault="00897EFA" w:rsidP="00897EFA">
      <w:pPr>
        <w:spacing w:before="120" w:after="120" w:line="300" w:lineRule="auto"/>
      </w:pPr>
    </w:p>
    <w:p w14:paraId="268A4966" w14:textId="569B549C" w:rsidR="00897EFA" w:rsidRDefault="00897EFA" w:rsidP="00897EFA">
      <w:pPr>
        <w:spacing w:before="120" w:after="120" w:line="300" w:lineRule="auto"/>
      </w:pPr>
      <w:r>
        <w:t xml:space="preserve">Approved for publication on </w:t>
      </w:r>
      <w:r w:rsidR="00602DDD">
        <w:t>18 November</w:t>
      </w:r>
      <w:r>
        <w:t xml:space="preserve"> 2019</w:t>
      </w:r>
    </w:p>
    <w:p w14:paraId="5A9D4FD1" w14:textId="5F714620" w:rsidR="0068500C" w:rsidRPr="00E8567A" w:rsidRDefault="00897EFA" w:rsidP="00364E3F">
      <w:pPr>
        <w:spacing w:before="120" w:after="120" w:line="300" w:lineRule="auto"/>
      </w:pPr>
      <w:r>
        <w:rPr>
          <w:b/>
        </w:rPr>
        <w:t>Jean Couper, Chair</w:t>
      </w:r>
    </w:p>
    <w:sectPr w:rsidR="0068500C" w:rsidRPr="00E8567A" w:rsidSect="00F7487F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1B7FD" w14:textId="77777777" w:rsidR="00D42BA6" w:rsidRDefault="00D42BA6">
      <w:pPr>
        <w:spacing w:line="240" w:lineRule="auto"/>
      </w:pPr>
      <w:r>
        <w:separator/>
      </w:r>
    </w:p>
  </w:endnote>
  <w:endnote w:type="continuationSeparator" w:id="0">
    <w:p w14:paraId="4EF2DC2F" w14:textId="77777777" w:rsidR="00D42BA6" w:rsidRDefault="00D42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037B6" w14:textId="68813B3D" w:rsidR="003F2479" w:rsidRPr="00F7487F" w:rsidRDefault="00DD43C5" w:rsidP="00F7487F">
    <w:pPr>
      <w:pStyle w:val="Footer"/>
      <w:tabs>
        <w:tab w:val="clear" w:pos="4153"/>
        <w:tab w:val="clear" w:pos="8306"/>
        <w:tab w:val="center" w:pos="4500"/>
        <w:tab w:val="right" w:pos="9000"/>
      </w:tabs>
      <w:jc w:val="center"/>
      <w:rPr>
        <w:color w:val="63B0BB"/>
        <w:sz w:val="20"/>
      </w:rPr>
    </w:pPr>
    <w:r w:rsidRPr="00F7487F">
      <w:rPr>
        <w:color w:val="63B0BB"/>
        <w:sz w:val="20"/>
      </w:rPr>
      <w:t xml:space="preserve">Page </w:t>
    </w:r>
    <w:r w:rsidRPr="00F7487F">
      <w:rPr>
        <w:b/>
        <w:color w:val="63B0BB"/>
        <w:sz w:val="20"/>
      </w:rPr>
      <w:fldChar w:fldCharType="begin"/>
    </w:r>
    <w:r w:rsidRPr="00F7487F">
      <w:rPr>
        <w:b/>
        <w:color w:val="63B0BB"/>
        <w:sz w:val="20"/>
      </w:rPr>
      <w:instrText xml:space="preserve"> PAGE  \* Arabic  \* MERGEFORMAT </w:instrText>
    </w:r>
    <w:r w:rsidRPr="00F7487F">
      <w:rPr>
        <w:b/>
        <w:color w:val="63B0BB"/>
        <w:sz w:val="20"/>
      </w:rPr>
      <w:fldChar w:fldCharType="separate"/>
    </w:r>
    <w:r w:rsidR="00742C9D">
      <w:rPr>
        <w:b/>
        <w:noProof/>
        <w:color w:val="63B0BB"/>
        <w:sz w:val="20"/>
      </w:rPr>
      <w:t>5</w:t>
    </w:r>
    <w:r w:rsidRPr="00F7487F">
      <w:rPr>
        <w:b/>
        <w:color w:val="63B0BB"/>
        <w:sz w:val="20"/>
      </w:rPr>
      <w:fldChar w:fldCharType="end"/>
    </w:r>
    <w:r w:rsidRPr="00F7487F">
      <w:rPr>
        <w:color w:val="63B0BB"/>
        <w:sz w:val="20"/>
      </w:rPr>
      <w:t xml:space="preserve"> of </w:t>
    </w:r>
    <w:r w:rsidRPr="00F7487F">
      <w:rPr>
        <w:b/>
        <w:color w:val="63B0BB"/>
        <w:sz w:val="20"/>
      </w:rPr>
      <w:fldChar w:fldCharType="begin"/>
    </w:r>
    <w:r w:rsidRPr="00F7487F">
      <w:rPr>
        <w:b/>
        <w:color w:val="63B0BB"/>
        <w:sz w:val="20"/>
      </w:rPr>
      <w:instrText xml:space="preserve"> NUMPAGES  \* Arabic  \* MERGEFORMAT </w:instrText>
    </w:r>
    <w:r w:rsidRPr="00F7487F">
      <w:rPr>
        <w:b/>
        <w:color w:val="63B0BB"/>
        <w:sz w:val="20"/>
      </w:rPr>
      <w:fldChar w:fldCharType="separate"/>
    </w:r>
    <w:r w:rsidR="00742C9D">
      <w:rPr>
        <w:b/>
        <w:noProof/>
        <w:color w:val="63B0BB"/>
        <w:sz w:val="20"/>
      </w:rPr>
      <w:t>5</w:t>
    </w:r>
    <w:r w:rsidRPr="00F7487F">
      <w:rPr>
        <w:b/>
        <w:color w:val="63B0BB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96098" w14:textId="49B4CCE5" w:rsidR="00F7487F" w:rsidRPr="004E7229" w:rsidRDefault="00F7487F" w:rsidP="00F7487F">
    <w:pPr>
      <w:pStyle w:val="Footer"/>
      <w:tabs>
        <w:tab w:val="clear" w:pos="4153"/>
        <w:tab w:val="clear" w:pos="8306"/>
        <w:tab w:val="center" w:pos="4500"/>
        <w:tab w:val="right" w:pos="9000"/>
      </w:tabs>
      <w:jc w:val="center"/>
      <w:rPr>
        <w:color w:val="000000" w:themeColor="text1"/>
        <w:sz w:val="20"/>
      </w:rPr>
    </w:pPr>
    <w:r w:rsidRPr="004E7229">
      <w:rPr>
        <w:color w:val="000000" w:themeColor="text1"/>
        <w:sz w:val="20"/>
      </w:rPr>
      <w:t xml:space="preserve">Page </w:t>
    </w:r>
    <w:r w:rsidRPr="004E7229">
      <w:rPr>
        <w:b/>
        <w:color w:val="000000" w:themeColor="text1"/>
        <w:sz w:val="20"/>
      </w:rPr>
      <w:fldChar w:fldCharType="begin"/>
    </w:r>
    <w:r w:rsidRPr="004E7229">
      <w:rPr>
        <w:b/>
        <w:color w:val="000000" w:themeColor="text1"/>
        <w:sz w:val="20"/>
      </w:rPr>
      <w:instrText xml:space="preserve"> PAGE  \* Arabic  \* MERGEFORMAT </w:instrText>
    </w:r>
    <w:r w:rsidRPr="004E7229">
      <w:rPr>
        <w:b/>
        <w:color w:val="000000" w:themeColor="text1"/>
        <w:sz w:val="20"/>
      </w:rPr>
      <w:fldChar w:fldCharType="separate"/>
    </w:r>
    <w:r w:rsidR="00742C9D">
      <w:rPr>
        <w:b/>
        <w:noProof/>
        <w:color w:val="000000" w:themeColor="text1"/>
        <w:sz w:val="20"/>
      </w:rPr>
      <w:t>1</w:t>
    </w:r>
    <w:r w:rsidRPr="004E7229">
      <w:rPr>
        <w:b/>
        <w:color w:val="000000" w:themeColor="text1"/>
        <w:sz w:val="20"/>
      </w:rPr>
      <w:fldChar w:fldCharType="end"/>
    </w:r>
    <w:r w:rsidRPr="004E7229">
      <w:rPr>
        <w:color w:val="000000" w:themeColor="text1"/>
        <w:sz w:val="20"/>
      </w:rPr>
      <w:t xml:space="preserve"> of </w:t>
    </w:r>
    <w:r w:rsidRPr="004E7229">
      <w:rPr>
        <w:b/>
        <w:color w:val="000000" w:themeColor="text1"/>
        <w:sz w:val="20"/>
      </w:rPr>
      <w:fldChar w:fldCharType="begin"/>
    </w:r>
    <w:r w:rsidRPr="004E7229">
      <w:rPr>
        <w:b/>
        <w:color w:val="000000" w:themeColor="text1"/>
        <w:sz w:val="20"/>
      </w:rPr>
      <w:instrText xml:space="preserve"> NUMPAGES  \* Arabic  \* MERGEFORMAT </w:instrText>
    </w:r>
    <w:r w:rsidRPr="004E7229">
      <w:rPr>
        <w:b/>
        <w:color w:val="000000" w:themeColor="text1"/>
        <w:sz w:val="20"/>
      </w:rPr>
      <w:fldChar w:fldCharType="separate"/>
    </w:r>
    <w:r w:rsidR="00742C9D">
      <w:rPr>
        <w:b/>
        <w:noProof/>
        <w:color w:val="000000" w:themeColor="text1"/>
        <w:sz w:val="20"/>
      </w:rPr>
      <w:t>5</w:t>
    </w:r>
    <w:r w:rsidRPr="004E7229">
      <w:rPr>
        <w:b/>
        <w:color w:val="000000" w:themeColor="tex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F6E42" w14:textId="77777777" w:rsidR="00D42BA6" w:rsidRDefault="00D42BA6">
      <w:pPr>
        <w:spacing w:line="240" w:lineRule="auto"/>
      </w:pPr>
      <w:r>
        <w:separator/>
      </w:r>
    </w:p>
  </w:footnote>
  <w:footnote w:type="continuationSeparator" w:id="0">
    <w:p w14:paraId="4A51C6FE" w14:textId="77777777" w:rsidR="00D42BA6" w:rsidRDefault="00D42B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F976" w14:textId="79419DCC" w:rsidR="003F2479" w:rsidRPr="0067486A" w:rsidRDefault="00AF1FD6" w:rsidP="00AF1FD6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4F9D55" wp14:editId="60CF2B62">
          <wp:simplePos x="0" y="0"/>
          <wp:positionH relativeFrom="margin">
            <wp:align>right</wp:align>
          </wp:positionH>
          <wp:positionV relativeFrom="page">
            <wp:posOffset>180340</wp:posOffset>
          </wp:positionV>
          <wp:extent cx="673200" cy="4824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inuation sheet 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00" cy="48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01885" w14:textId="19E6FC13" w:rsidR="00AF1FD6" w:rsidRPr="000B52BC" w:rsidRDefault="00AF1FD6">
    <w:pPr>
      <w:pStyle w:val="Header"/>
      <w:rPr>
        <w:b/>
      </w:rPr>
    </w:pPr>
    <w:r w:rsidRPr="000B52BC">
      <w:rPr>
        <w:rFonts w:ascii="Calibri" w:eastAsia="Times New Roman" w:hAnsi="Calibri" w:cs="Times New Roman"/>
        <w:b/>
        <w:noProof/>
        <w:color w:val="auto"/>
        <w:sz w:val="20"/>
        <w:szCs w:val="22"/>
      </w:rPr>
      <w:drawing>
        <wp:anchor distT="0" distB="0" distL="114300" distR="114300" simplePos="0" relativeHeight="251659264" behindDoc="0" locked="0" layoutInCell="1" allowOverlap="1" wp14:anchorId="37E818E7" wp14:editId="31318A99">
          <wp:simplePos x="0" y="0"/>
          <wp:positionH relativeFrom="margin">
            <wp:align>right</wp:align>
          </wp:positionH>
          <wp:positionV relativeFrom="page">
            <wp:posOffset>180340</wp:posOffset>
          </wp:positionV>
          <wp:extent cx="1706400" cy="11448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114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2BC" w:rsidRPr="000B52BC">
      <w:rPr>
        <w:b/>
      </w:rPr>
      <w:t xml:space="preserve">Paper </w:t>
    </w:r>
    <w:proofErr w:type="gramStart"/>
    <w:r w:rsidR="000B52BC" w:rsidRPr="000B52BC">
      <w:rPr>
        <w:b/>
      </w:rPr>
      <w:t>2  Advisory</w:t>
    </w:r>
    <w:proofErr w:type="gramEnd"/>
    <w:r w:rsidR="000B52BC" w:rsidRPr="000B52BC">
      <w:rPr>
        <w:b/>
      </w:rPr>
      <w:t xml:space="preserve"> Audit Board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B1366D"/>
    <w:multiLevelType w:val="hybridMultilevel"/>
    <w:tmpl w:val="861A2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2407"/>
    <w:multiLevelType w:val="hybridMultilevel"/>
    <w:tmpl w:val="4C4A31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AC380B"/>
    <w:multiLevelType w:val="multilevel"/>
    <w:tmpl w:val="69D8F934"/>
    <w:styleLink w:val="R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9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75"/>
        </w:tabs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0"/>
        </w:tabs>
        <w:ind w:left="1276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ind w:left="1701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26857C48"/>
    <w:multiLevelType w:val="hybridMultilevel"/>
    <w:tmpl w:val="5F329F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31B85"/>
    <w:multiLevelType w:val="hybridMultilevel"/>
    <w:tmpl w:val="C64C0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42F0E"/>
    <w:multiLevelType w:val="multilevel"/>
    <w:tmpl w:val="69D8F934"/>
    <w:numStyleLink w:val="RA"/>
  </w:abstractNum>
  <w:abstractNum w:abstractNumId="7" w15:restartNumberingAfterBreak="0">
    <w:nsid w:val="4EEB4201"/>
    <w:multiLevelType w:val="hybridMultilevel"/>
    <w:tmpl w:val="DCEE10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E525CB"/>
    <w:multiLevelType w:val="hybridMultilevel"/>
    <w:tmpl w:val="22347C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BE086B"/>
    <w:multiLevelType w:val="hybridMultilevel"/>
    <w:tmpl w:val="9A6491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131892"/>
    <w:multiLevelType w:val="hybridMultilevel"/>
    <w:tmpl w:val="85A467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6B2C60"/>
    <w:multiLevelType w:val="hybridMultilevel"/>
    <w:tmpl w:val="2B9ED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71F7B"/>
    <w:multiLevelType w:val="hybridMultilevel"/>
    <w:tmpl w:val="15DA8A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ED6AFD"/>
    <w:multiLevelType w:val="multilevel"/>
    <w:tmpl w:val="69D8F93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lvlText w:val="%1.%2."/>
      <w:lvlJc w:val="left"/>
      <w:pPr>
        <w:ind w:left="1134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9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6" w:hanging="113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75"/>
        </w:tabs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0"/>
        </w:tabs>
        <w:ind w:left="1276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ind w:left="1701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652C1161"/>
    <w:multiLevelType w:val="singleLevel"/>
    <w:tmpl w:val="03D45AD8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11F779A"/>
    <w:multiLevelType w:val="hybridMultilevel"/>
    <w:tmpl w:val="58949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33678"/>
    <w:multiLevelType w:val="hybridMultilevel"/>
    <w:tmpl w:val="9A6491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14"/>
  </w:num>
  <w:num w:numId="8">
    <w:abstractNumId w:val="14"/>
  </w:num>
  <w:num w:numId="9">
    <w:abstractNumId w:val="14"/>
  </w:num>
  <w:num w:numId="10">
    <w:abstractNumId w:val="3"/>
  </w:num>
  <w:num w:numId="11">
    <w:abstractNumId w:val="14"/>
  </w:num>
  <w:num w:numId="12">
    <w:abstractNumId w:val="14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5"/>
  </w:num>
  <w:num w:numId="18">
    <w:abstractNumId w:val="13"/>
  </w:num>
  <w:num w:numId="19">
    <w:abstractNumId w:val="12"/>
  </w:num>
  <w:num w:numId="20">
    <w:abstractNumId w:val="15"/>
  </w:num>
  <w:num w:numId="21">
    <w:abstractNumId w:val="16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  <w:num w:numId="26">
    <w:abstractNumId w:val="11"/>
  </w:num>
  <w:num w:numId="27">
    <w:abstractNumId w:val="2"/>
  </w:num>
  <w:num w:numId="28">
    <w:abstractNumId w:val="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A6"/>
    <w:rsid w:val="000022C9"/>
    <w:rsid w:val="00053483"/>
    <w:rsid w:val="00057905"/>
    <w:rsid w:val="000B52BC"/>
    <w:rsid w:val="000D3F33"/>
    <w:rsid w:val="00100021"/>
    <w:rsid w:val="001267F7"/>
    <w:rsid w:val="00157346"/>
    <w:rsid w:val="0016777E"/>
    <w:rsid w:val="00186121"/>
    <w:rsid w:val="00192DC7"/>
    <w:rsid w:val="001A070B"/>
    <w:rsid w:val="001D53AD"/>
    <w:rsid w:val="001E1C82"/>
    <w:rsid w:val="001E3D19"/>
    <w:rsid w:val="00253741"/>
    <w:rsid w:val="0027190E"/>
    <w:rsid w:val="00272D69"/>
    <w:rsid w:val="002F3688"/>
    <w:rsid w:val="00312327"/>
    <w:rsid w:val="00335285"/>
    <w:rsid w:val="00364E3F"/>
    <w:rsid w:val="00374D0F"/>
    <w:rsid w:val="00397D5C"/>
    <w:rsid w:val="003F2479"/>
    <w:rsid w:val="00411FC4"/>
    <w:rsid w:val="004244A0"/>
    <w:rsid w:val="00477B14"/>
    <w:rsid w:val="0049304D"/>
    <w:rsid w:val="004E7229"/>
    <w:rsid w:val="004F6A87"/>
    <w:rsid w:val="00522B27"/>
    <w:rsid w:val="005646D0"/>
    <w:rsid w:val="00602DDD"/>
    <w:rsid w:val="006261D9"/>
    <w:rsid w:val="00641769"/>
    <w:rsid w:val="0065129A"/>
    <w:rsid w:val="0067486A"/>
    <w:rsid w:val="0068500C"/>
    <w:rsid w:val="00690FB6"/>
    <w:rsid w:val="006D26F7"/>
    <w:rsid w:val="006E7110"/>
    <w:rsid w:val="00700DA7"/>
    <w:rsid w:val="00706F16"/>
    <w:rsid w:val="0071021C"/>
    <w:rsid w:val="007211EE"/>
    <w:rsid w:val="00742C9D"/>
    <w:rsid w:val="00742E6D"/>
    <w:rsid w:val="007739BE"/>
    <w:rsid w:val="007B4DC3"/>
    <w:rsid w:val="008217CF"/>
    <w:rsid w:val="00833FC9"/>
    <w:rsid w:val="00867C3B"/>
    <w:rsid w:val="0088483D"/>
    <w:rsid w:val="00892055"/>
    <w:rsid w:val="00897EFA"/>
    <w:rsid w:val="008E3B81"/>
    <w:rsid w:val="008F6F66"/>
    <w:rsid w:val="009353FE"/>
    <w:rsid w:val="009420BB"/>
    <w:rsid w:val="00943F95"/>
    <w:rsid w:val="009506E6"/>
    <w:rsid w:val="00952710"/>
    <w:rsid w:val="00964F74"/>
    <w:rsid w:val="00996CC2"/>
    <w:rsid w:val="009A5A53"/>
    <w:rsid w:val="009F71B8"/>
    <w:rsid w:val="00A32EA5"/>
    <w:rsid w:val="00A56EBA"/>
    <w:rsid w:val="00A90A53"/>
    <w:rsid w:val="00AB54FF"/>
    <w:rsid w:val="00AC310B"/>
    <w:rsid w:val="00AC5B2B"/>
    <w:rsid w:val="00AD1409"/>
    <w:rsid w:val="00AE01CB"/>
    <w:rsid w:val="00AF1FD6"/>
    <w:rsid w:val="00B91278"/>
    <w:rsid w:val="00BF7F2F"/>
    <w:rsid w:val="00C2023F"/>
    <w:rsid w:val="00C34678"/>
    <w:rsid w:val="00C6603C"/>
    <w:rsid w:val="00C86FBA"/>
    <w:rsid w:val="00C87187"/>
    <w:rsid w:val="00C9427A"/>
    <w:rsid w:val="00CC1706"/>
    <w:rsid w:val="00CD5AA3"/>
    <w:rsid w:val="00D32FE0"/>
    <w:rsid w:val="00D36EEA"/>
    <w:rsid w:val="00D42BA6"/>
    <w:rsid w:val="00D442AB"/>
    <w:rsid w:val="00D9051C"/>
    <w:rsid w:val="00D931C4"/>
    <w:rsid w:val="00DC39AC"/>
    <w:rsid w:val="00DD43C5"/>
    <w:rsid w:val="00DF5559"/>
    <w:rsid w:val="00E3477B"/>
    <w:rsid w:val="00E3599D"/>
    <w:rsid w:val="00E36759"/>
    <w:rsid w:val="00E8567A"/>
    <w:rsid w:val="00EA11EF"/>
    <w:rsid w:val="00EA5097"/>
    <w:rsid w:val="00EF226D"/>
    <w:rsid w:val="00EF2FEA"/>
    <w:rsid w:val="00F01D19"/>
    <w:rsid w:val="00F534E9"/>
    <w:rsid w:val="00F54947"/>
    <w:rsid w:val="00F7487F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E833E9B"/>
  <w15:docId w15:val="{0639F07C-F454-4D9D-95D4-AA60E95A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3C5"/>
    <w:pPr>
      <w:spacing w:after="160"/>
    </w:pPr>
    <w:rPr>
      <w:rFonts w:ascii="Arial" w:hAnsi="Arial" w:cs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FEA"/>
    <w:pPr>
      <w:pBdr>
        <w:bottom w:val="single" w:sz="4" w:space="1" w:color="auto"/>
      </w:pBdr>
      <w:spacing w:before="240" w:after="240" w:line="240" w:lineRule="auto"/>
      <w:outlineLvl w:val="0"/>
    </w:pPr>
    <w:rPr>
      <w:b/>
      <w:color w:val="4D4D4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2FEA"/>
    <w:pPr>
      <w:spacing w:line="240" w:lineRule="auto"/>
      <w:outlineLvl w:val="1"/>
    </w:pPr>
    <w:rPr>
      <w:b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2FEA"/>
    <w:pPr>
      <w:spacing w:after="120" w:line="240" w:lineRule="auto"/>
      <w:outlineLvl w:val="2"/>
    </w:pPr>
    <w:rPr>
      <w:i/>
      <w:color w:val="auto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2FEA"/>
    <w:pPr>
      <w:keepNext/>
      <w:keepLines/>
      <w:spacing w:after="12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Spacing"/>
    <w:next w:val="Normal"/>
    <w:link w:val="Heading5Char"/>
    <w:uiPriority w:val="9"/>
    <w:unhideWhenUsed/>
    <w:qFormat/>
    <w:rsid w:val="00EF2FEA"/>
    <w:pPr>
      <w:outlineLvl w:val="4"/>
    </w:pPr>
    <w:rPr>
      <w:rFonts w:ascii="Arial Black" w:hAnsi="Arial Black"/>
      <w:color w:val="243C75" w:themeColor="accent4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2FEA"/>
    <w:pPr>
      <w:outlineLvl w:val="5"/>
    </w:pPr>
    <w:rPr>
      <w:i/>
      <w:color w:val="243C75" w:themeColor="accent4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qFormat/>
    <w:rsid w:val="00186121"/>
    <w:pPr>
      <w:numPr>
        <w:numId w:val="12"/>
      </w:numPr>
      <w:tabs>
        <w:tab w:val="left" w:pos="1800"/>
        <w:tab w:val="left" w:pos="3240"/>
      </w:tabs>
      <w:spacing w:after="120"/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EF2F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2FEA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F2FEA"/>
    <w:rPr>
      <w:rFonts w:ascii="Arial" w:hAnsi="Arial" w:cs="Arial"/>
      <w:b/>
      <w:color w:val="4D4D4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2FEA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2FEA"/>
    <w:rPr>
      <w:rFonts w:ascii="Arial" w:hAnsi="Arial" w:cs="Arial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2FEA"/>
    <w:rPr>
      <w:rFonts w:ascii="Arial" w:eastAsiaTheme="majorEastAsia" w:hAnsi="Arial" w:cstheme="majorBidi"/>
      <w:bCs/>
      <w:iCs/>
      <w:color w:val="00000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F2FEA"/>
    <w:rPr>
      <w:rFonts w:ascii="Arial Black" w:hAnsi="Arial Black" w:cs="Arial"/>
      <w:color w:val="243C75" w:themeColor="accent4" w:themeShade="80"/>
      <w:szCs w:val="24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EF2FEA"/>
    <w:rPr>
      <w:b/>
      <w:color w:val="243C75" w:themeColor="accent4" w:themeShade="80"/>
      <w:sz w:val="44"/>
      <w:szCs w:val="44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EF2FEA"/>
    <w:rPr>
      <w:rFonts w:ascii="Arial" w:hAnsi="Arial" w:cs="Arial"/>
      <w:b/>
      <w:color w:val="243C75" w:themeColor="accent4" w:themeShade="80"/>
      <w:sz w:val="44"/>
      <w:szCs w:val="44"/>
    </w:rPr>
  </w:style>
  <w:style w:type="paragraph" w:customStyle="1" w:styleId="Sectiontitle">
    <w:name w:val="Section title"/>
    <w:basedOn w:val="Subtitle"/>
    <w:next w:val="Normal"/>
    <w:uiPriority w:val="11"/>
    <w:qFormat/>
    <w:rsid w:val="00186121"/>
    <w:rPr>
      <w:sz w:val="32"/>
      <w:szCs w:val="32"/>
    </w:rPr>
  </w:style>
  <w:style w:type="paragraph" w:styleId="NoSpacing">
    <w:name w:val="No Spacing"/>
    <w:uiPriority w:val="1"/>
    <w:qFormat/>
    <w:rsid w:val="00EF2FEA"/>
    <w:pPr>
      <w:spacing w:after="160" w:line="240" w:lineRule="auto"/>
    </w:pPr>
    <w:rPr>
      <w:rFonts w:ascii="Arial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EF2FEA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EF2FEA"/>
    <w:pPr>
      <w:numPr>
        <w:ilvl w:val="1"/>
      </w:numPr>
    </w:pPr>
    <w:rPr>
      <w:rFonts w:eastAsiaTheme="majorEastAsia" w:cstheme="majorBidi"/>
      <w:b/>
      <w:iCs/>
      <w:color w:val="00206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FEA"/>
    <w:rPr>
      <w:rFonts w:ascii="Arial" w:eastAsiaTheme="majorEastAsia" w:hAnsi="Arial" w:cstheme="majorBidi"/>
      <w:b/>
      <w:iCs/>
      <w:color w:val="002060"/>
      <w:sz w:val="28"/>
      <w:szCs w:val="24"/>
    </w:rPr>
  </w:style>
  <w:style w:type="paragraph" w:styleId="CommentText">
    <w:name w:val="annotation text"/>
    <w:basedOn w:val="Normal"/>
    <w:link w:val="CommentTextChar"/>
    <w:qFormat/>
    <w:rsid w:val="00272D69"/>
    <w:pPr>
      <w:spacing w:after="80" w:line="240" w:lineRule="auto"/>
    </w:pPr>
    <w:rPr>
      <w:rFonts w:cstheme="minorBidi"/>
      <w:color w:val="auto"/>
      <w:sz w:val="18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72D69"/>
    <w:rPr>
      <w:rFonts w:ascii="Arial" w:hAnsi="Arial"/>
      <w:sz w:val="18"/>
      <w:lang w:eastAsia="en-US"/>
    </w:rPr>
  </w:style>
  <w:style w:type="paragraph" w:styleId="FootnoteText">
    <w:name w:val="footnote text"/>
    <w:basedOn w:val="Normal"/>
    <w:link w:val="FootnoteTextChar"/>
    <w:qFormat/>
    <w:rsid w:val="00186121"/>
    <w:pPr>
      <w:spacing w:after="80" w:line="240" w:lineRule="auto"/>
    </w:pPr>
    <w:rPr>
      <w:color w:val="auto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6121"/>
    <w:rPr>
      <w:rFonts w:ascii="Arial" w:hAnsi="Arial" w:cs="Arial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2FEA"/>
    <w:rPr>
      <w:rFonts w:ascii="Arial" w:hAnsi="Arial" w:cs="Arial"/>
      <w:i/>
      <w:color w:val="243C75" w:themeColor="accent4" w:themeShade="80"/>
      <w:szCs w:val="24"/>
    </w:rPr>
  </w:style>
  <w:style w:type="numbering" w:customStyle="1" w:styleId="RA">
    <w:name w:val="RA"/>
    <w:uiPriority w:val="99"/>
    <w:rsid w:val="007739BE"/>
    <w:pPr>
      <w:numPr>
        <w:numId w:val="5"/>
      </w:numPr>
    </w:pPr>
  </w:style>
  <w:style w:type="paragraph" w:styleId="TOC1">
    <w:name w:val="toc 1"/>
    <w:basedOn w:val="Heading1"/>
    <w:next w:val="Normal"/>
    <w:uiPriority w:val="39"/>
    <w:unhideWhenUsed/>
    <w:qFormat/>
    <w:rsid w:val="00186121"/>
  </w:style>
  <w:style w:type="paragraph" w:styleId="TOC2">
    <w:name w:val="toc 2"/>
    <w:basedOn w:val="Heading2"/>
    <w:next w:val="Normal"/>
    <w:uiPriority w:val="39"/>
    <w:unhideWhenUsed/>
    <w:qFormat/>
    <w:rsid w:val="00186121"/>
    <w:pPr>
      <w:spacing w:after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F2FEA"/>
    <w:pPr>
      <w:spacing w:after="100"/>
      <w:ind w:left="440"/>
    </w:pPr>
    <w:rPr>
      <w:rFonts w:eastAsiaTheme="minorEastAsia" w:cstheme="minorBidi"/>
      <w:color w:val="auto"/>
      <w:szCs w:val="22"/>
      <w:lang w:val="en-US" w:eastAsia="ja-JP"/>
    </w:rPr>
  </w:style>
  <w:style w:type="character" w:styleId="Strong">
    <w:name w:val="Strong"/>
    <w:basedOn w:val="DefaultParagraphFont"/>
    <w:rsid w:val="00EF2FEA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FEA"/>
    <w:pPr>
      <w:keepNext/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AE9638" w:themeColor="accent1" w:themeShade="BF"/>
      <w:lang w:val="en-US" w:eastAsia="ja-JP"/>
    </w:rPr>
  </w:style>
  <w:style w:type="character" w:styleId="PageNumber">
    <w:name w:val="page number"/>
    <w:basedOn w:val="DefaultParagraphFont"/>
    <w:rsid w:val="00EF2FEA"/>
  </w:style>
  <w:style w:type="paragraph" w:styleId="NormalWeb">
    <w:name w:val="Normal (Web)"/>
    <w:basedOn w:val="Normal"/>
    <w:rsid w:val="00EF2F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F2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2FEA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EF2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9304D"/>
    <w:pPr>
      <w:ind w:left="36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304D"/>
    <w:rPr>
      <w:rFonts w:ascii="Arial" w:hAnsi="Arial" w:cs="Arial"/>
      <w:i/>
      <w:iCs/>
      <w:color w:val="000000" w:themeColor="text1"/>
      <w:szCs w:val="24"/>
    </w:rPr>
  </w:style>
  <w:style w:type="numbering" w:customStyle="1" w:styleId="RA1">
    <w:name w:val="RA1"/>
    <w:uiPriority w:val="99"/>
    <w:rsid w:val="00002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96B4428E9CC4EBCA819F99F88283A" ma:contentTypeVersion="10" ma:contentTypeDescription="Create a new document." ma:contentTypeScope="" ma:versionID="7fe05731fa2271c9ae10f18d42669cae">
  <xsd:schema xmlns:xsd="http://www.w3.org/2001/XMLSchema" xmlns:xs="http://www.w3.org/2001/XMLSchema" xmlns:p="http://schemas.microsoft.com/office/2006/metadata/properties" xmlns:ns2="7822bc28-767e-49bf-9521-68adaa407847" xmlns:ns3="http://schemas.microsoft.com/sharepoint/v3/fields" xmlns:ns5="http://schemas.microsoft.com/sharepoint/v4" targetNamespace="http://schemas.microsoft.com/office/2006/metadata/properties" ma:root="true" ma:fieldsID="da87aec9c882a8b95d7a506b4abf9f11" ns2:_="" ns3:_="" ns5:_="">
    <xsd:import namespace="7822bc28-767e-49bf-9521-68adaa407847"/>
    <xsd:import namespace="http://schemas.microsoft.com/sharepoint/v3/fields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_x0020_Period" minOccurs="0"/>
                <xsd:element ref="ns3:_Source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bc28-767e-49bf-9521-68adaa407847" elementFormDefault="qualified">
    <xsd:import namespace="http://schemas.microsoft.com/office/2006/documentManagement/types"/>
    <xsd:import namespace="http://schemas.microsoft.com/office/infopath/2007/PartnerControls"/>
    <xsd:element name="Retention_x0020_Period" ma:index="8" nillable="true" ma:displayName="Retain" ma:default="7" ma:description="Retention period in YEARS" ma:format="Dropdown" ma:internalName="Retention_x0020_Period">
      <xsd:simpleType>
        <xsd:restriction base="dms:Choice">
          <xsd:enumeration value="0.5"/>
          <xsd:enumeration value="1"/>
          <xsd:enumeration value="3"/>
          <xsd:enumeration value="5"/>
          <xsd:enumeration value="6"/>
          <xsd:enumeration value="7"/>
          <xsd:enumeration value="15"/>
          <xsd:enumeration value="40"/>
          <xsd:enumeration value="72"/>
          <xsd:enumeration value="1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9" nillable="true" ma:displayName="Source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Retention_x0020_Period xmlns="7822bc28-767e-49bf-9521-68adaa407847">7</Retention_x0020_Period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4B38-22AE-4CCD-9F15-6CEA3D30E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bc28-767e-49bf-9521-68adaa407847"/>
    <ds:schemaRef ds:uri="http://schemas.microsoft.com/sharepoint/v3/field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4534F-8A69-42AF-8242-0E5EF8013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231D4-AFA4-4AAD-9262-F904AC956E77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822bc28-767e-49bf-9521-68adaa407847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307B01-D35A-4E12-B5E7-EB4EB4BD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Governance report</vt:lpstr>
    </vt:vector>
  </TitlesOfParts>
  <Company>Scottish Government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Governance report</dc:title>
  <dc:creator>RA</dc:creator>
  <cp:lastModifiedBy>Paterson F (Fiona) (SPSO)</cp:lastModifiedBy>
  <cp:revision>12</cp:revision>
  <cp:lastPrinted>2019-04-10T09:37:00Z</cp:lastPrinted>
  <dcterms:created xsi:type="dcterms:W3CDTF">2019-10-02T13:49:00Z</dcterms:created>
  <dcterms:modified xsi:type="dcterms:W3CDTF">2019-12-04T13:53:00Z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0x010100E9996B4428E9CC4EBCA819F99F88283A</vt:lpwstr>
  </property>
  <property fmtid="{D5CDD505-2E9C-101B-9397-08002B2CF9AE}" pid="3" name="Order">
    <vt:r8>460800</vt:r8>
  </property>
</Properties>
</file>